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hint="eastAsia" w:ascii="宋体" w:hAnsi="宋体" w:cs="宋体"/>
          <w:b/>
          <w:color w:val="auto"/>
          <w:sz w:val="8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84"/>
          <w:highlight w:val="none"/>
        </w:rPr>
      </w:r>
      <w:r/>
    </w:p>
    <w:p>
      <w:pPr>
        <w:jc w:val="left"/>
        <w:spacing w:before="240" w:after="24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84"/>
          <w:highlight w:val="none"/>
        </w:rPr>
        <w:t xml:space="preserve">   招　标　文　件</w:t>
      </w:r>
      <w:r/>
    </w:p>
    <w:p>
      <w:pPr>
        <w:spacing w:before="240" w:after="240"/>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31297"/>
      <w:r/>
      <w:r/>
    </w:p>
    <w:p>
      <w:pPr>
        <w:ind w:firstLine="964"/>
        <w:spacing w:before="240" w:after="240"/>
        <w:rPr>
          <w:rFonts w:hint="eastAsia" w:ascii="宋体" w:hAnsi="宋体" w:eastAsia="宋体"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highlight w:val="none"/>
        </w:rPr>
        <w:t xml:space="preserve">项目名称：</w:t>
      </w:r>
      <w:bookmarkEnd w:id="0"/>
      <w:r>
        <w:rPr>
          <w:rFonts w:hint="eastAsia" w:ascii="宋体" w:hAnsi="宋体" w:cs="宋体"/>
          <w:b/>
          <w:color w:val="auto"/>
          <w:sz w:val="32"/>
          <w:highlight w:val="none"/>
          <w:lang w:eastAsia="zh-CN"/>
        </w:rPr>
        <w:t xml:space="preserve">雪亮工程社会面联网项目（二标段）</w:t>
      </w:r>
      <w:r/>
    </w:p>
    <w:p>
      <w:pPr>
        <w:ind w:firstLine="964"/>
        <w:spacing w:before="240" w:after="240"/>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项目编号：JSZC-321324-JSCW-G2025-0106 </w:t>
      </w:r>
      <w:r/>
    </w:p>
    <w:p>
      <w:pPr>
        <w:ind w:firstLine="301"/>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 w:name="_Toc18768"/>
      <w:r>
        <w:rPr>
          <w:rFonts w:hint="eastAsia" w:ascii="宋体" w:hAnsi="宋体" w:cs="宋体"/>
          <w:b/>
          <w:color w:val="auto"/>
          <w:sz w:val="30"/>
          <w:highlight w:val="none"/>
        </w:rPr>
        <w:t xml:space="preserve">（</w:t>
      </w:r>
      <w:r>
        <w:rPr>
          <w:rFonts w:hint="eastAsia" w:ascii="宋体" w:hAnsi="宋体" w:cs="宋体"/>
          <w:b/>
          <w:color w:val="auto"/>
          <w:sz w:val="30"/>
          <w:highlight w:val="none"/>
          <w:u w:val="single"/>
        </w:rPr>
        <w:t xml:space="preserve">货物</w:t>
      </w:r>
      <w:r>
        <w:rPr>
          <w:rFonts w:hint="eastAsia" w:ascii="宋体" w:hAnsi="宋体" w:cs="宋体"/>
          <w:b/>
          <w:color w:val="auto"/>
          <w:sz w:val="30"/>
          <w:highlight w:val="none"/>
        </w:rPr>
        <w:t xml:space="preserve">类项目，本项目</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lang w:val="en-US" w:eastAsia="zh-CN"/>
        </w:rPr>
        <w:t xml:space="preserve">是</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专门面向中小企业采购）</w:t>
      </w:r>
      <w:bookmarkEnd w:id="1"/>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2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964"/>
        <w:spacing w:before="240" w:after="240"/>
        <w:rPr>
          <w:rFonts w:hint="eastAsia" w:ascii="宋体" w:hAnsi="宋体" w:eastAsia="宋体" w:cs="宋体"/>
          <w:b/>
          <w:color w:val="auto"/>
          <w:sz w:val="32"/>
          <w:highlight w:val="none"/>
          <w:u w:val="single"/>
          <w:lang w:eastAsia="zh-CN"/>
        </w:rPr>
        <w:pBdr>
          <w:top w:val="none" w:color="000000" w:sz="0" w:space="0"/>
          <w:left w:val="none" w:color="000000" w:sz="0" w:space="0"/>
          <w:bottom w:val="none" w:color="000000" w:sz="0" w:space="0"/>
          <w:right w:val="none" w:color="000000" w:sz="0" w:space="0"/>
        </w:pBdr>
        <w:outlineLvl w:val="0"/>
      </w:pPr>
      <w:r/>
      <w:bookmarkStart w:id="2" w:name="_Toc29259"/>
      <w:r>
        <w:rPr>
          <w:rFonts w:hint="eastAsia" w:ascii="宋体" w:hAnsi="宋体" w:cs="宋体"/>
          <w:b/>
          <w:color w:val="auto"/>
          <w:sz w:val="32"/>
          <w:highlight w:val="none"/>
        </w:rPr>
        <w:t xml:space="preserve">采   购   人：</w:t>
      </w:r>
      <w:bookmarkEnd w:id="2"/>
      <w:r>
        <w:rPr>
          <w:rFonts w:hint="eastAsia" w:ascii="宋体" w:hAnsi="宋体" w:cs="宋体"/>
          <w:b/>
          <w:color w:val="auto"/>
          <w:sz w:val="32"/>
          <w:highlight w:val="none"/>
          <w:u w:val="single"/>
          <w:lang w:eastAsia="zh-CN"/>
        </w:rPr>
        <w:t xml:space="preserve">泗洪县公安局</w:t>
      </w:r>
      <w:r/>
    </w:p>
    <w:p>
      <w:pPr>
        <w:ind w:firstLine="964"/>
        <w:spacing w:before="240" w:after="240"/>
        <w:rPr>
          <w:rFonts w:hint="eastAsia" w:ascii="宋体" w:hAnsi="宋体" w:cs="宋体"/>
          <w:b/>
          <w:color w:val="auto"/>
          <w:sz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采购代理机构：</w:t>
      </w:r>
      <w:r>
        <w:rPr>
          <w:rFonts w:hint="eastAsia" w:ascii="宋体" w:hAnsi="宋体" w:cs="宋体"/>
          <w:b/>
          <w:color w:val="auto"/>
          <w:sz w:val="32"/>
          <w:highlight w:val="none"/>
          <w:u w:val="single"/>
          <w:lang w:eastAsia="zh-CN"/>
        </w:rPr>
        <w:t xml:space="preserve">江苏春为全过程工程咨询有限公司</w:t>
      </w:r>
      <w:r>
        <w:rPr>
          <w:rFonts w:hint="eastAsia" w:ascii="宋体" w:hAnsi="宋体" w:cs="宋体"/>
          <w:b/>
          <w:color w:val="auto"/>
          <w:sz w:val="32"/>
          <w:highlight w:val="none"/>
          <w:u w:val="single"/>
        </w:rPr>
        <w:t xml:space="preserve"> </w:t>
      </w:r>
      <w:r/>
    </w:p>
    <w:p>
      <w:pPr>
        <w:jc w:val="center"/>
        <w:spacing w:before="240" w:after="24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日期：</w:t>
      </w:r>
      <w:r>
        <w:rPr>
          <w:rFonts w:hint="eastAsia" w:ascii="宋体" w:hAnsi="宋体" w:cs="宋体"/>
          <w:b/>
          <w:color w:val="auto"/>
          <w:sz w:val="32"/>
          <w:highlight w:val="none"/>
          <w:u w:val="single"/>
        </w:rPr>
        <w:t xml:space="preserve">2025</w:t>
      </w:r>
      <w:r>
        <w:rPr>
          <w:rFonts w:hint="eastAsia" w:ascii="宋体" w:hAnsi="宋体" w:cs="宋体"/>
          <w:b/>
          <w:color w:val="auto"/>
          <w:sz w:val="32"/>
          <w:highlight w:val="none"/>
        </w:rPr>
        <w:t xml:space="preserve">年</w:t>
      </w:r>
      <w:r>
        <w:rPr>
          <w:rFonts w:hint="eastAsia" w:ascii="宋体" w:hAnsi="宋体" w:cs="宋体"/>
          <w:b/>
          <w:color w:val="auto"/>
          <w:sz w:val="32"/>
          <w:highlight w:val="none"/>
          <w:u w:val="single"/>
          <w:lang w:val="en-US" w:eastAsia="zh-CN"/>
        </w:rPr>
        <w:t xml:space="preserve">12</w:t>
      </w:r>
      <w:r>
        <w:rPr>
          <w:rFonts w:hint="eastAsia" w:ascii="宋体" w:hAnsi="宋体" w:cs="宋体"/>
          <w:b/>
          <w:color w:val="auto"/>
          <w:sz w:val="32"/>
          <w:highlight w:val="none"/>
        </w:rPr>
        <w:t xml:space="preserve">月</w:t>
      </w:r>
      <w:r>
        <w:rPr>
          <w:rFonts w:hint="eastAsia" w:ascii="宋体" w:hAnsi="宋体" w:cs="宋体"/>
          <w:b/>
          <w:color w:val="auto"/>
          <w:sz w:val="32"/>
          <w:highlight w:val="none"/>
          <w:u w:val="single"/>
          <w:lang w:val="en-US" w:eastAsia="zh-CN"/>
        </w:rPr>
        <w:t xml:space="preserve">05</w:t>
      </w:r>
      <w:r>
        <w:rPr>
          <w:rFonts w:hint="eastAsia" w:ascii="宋体" w:hAnsi="宋体" w:cs="宋体"/>
          <w:b/>
          <w:color w:val="auto"/>
          <w:sz w:val="32"/>
          <w:highlight w:val="none"/>
        </w:rPr>
        <w:t xml:space="preserve">日</w:t>
      </w:r>
      <w:r/>
    </w:p>
    <w:p>
      <w:pPr>
        <w:spacing w:before="240" w:after="24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pStyle w:val="862"/>
        <w:rPr>
          <w:rFonts w:hint="eastAsia" w:ascii="宋体" w:hAnsi="宋体" w:eastAsia="宋体" w:cs="宋体"/>
          <w:color w:val="auto"/>
          <w:sz w:val="48"/>
          <w:szCs w:val="48"/>
          <w:highlight w:val="none"/>
        </w:rPr>
        <w:outlineLvl w:val="9"/>
      </w:pPr>
      <w:r/>
      <w:bookmarkStart w:id="85" w:name="_GoBack"/>
      <w:r/>
      <w:bookmarkEnd w:id="85"/>
      <w:r/>
      <w:r/>
    </w:p>
    <w:sdt>
      <w:sdtPr>
        <w15:appearance w15:val="boundingBox"/>
        <w15:color w:val="dbdbdb"/>
        <w:id w:val="147454433"/>
        <w:docPartObj>
          <w:docPartGallery w:val="Table of Contents"/>
          <w:docPartUnique w:val="true"/>
        </w:docPartObj>
        <w:rPr>
          <w:rFonts w:ascii="宋体" w:hAnsi="宋体"/>
          <w:color w:val="auto"/>
          <w:sz w:val="36"/>
          <w:szCs w:val="36"/>
          <w:highlight w:val="none"/>
        </w:rPr>
      </w:sdtPr>
      <w:sdtContent>
        <w:p>
          <w:pPr>
            <w:jc w:val="center"/>
            <w:rPr>
              <w:color w:val="auto"/>
              <w:sz w:val="36"/>
              <w:szCs w:val="36"/>
              <w:highlight w:val="none"/>
            </w:rPr>
          </w:pPr>
          <w:r>
            <w:rPr>
              <w:rFonts w:ascii="宋体" w:hAnsi="宋体"/>
              <w:color w:val="auto"/>
              <w:sz w:val="36"/>
              <w:szCs w:val="36"/>
              <w:highlight w:val="none"/>
            </w:rPr>
            <w:t xml:space="preserve">目录</w:t>
          </w:r>
          <w:r/>
        </w:p>
        <w:p>
          <w:pPr>
            <w:pStyle w:val="1206"/>
            <w:tabs>
              <w:tab w:val="right" w:pos="8306" w:leader="dot"/>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TOC \o "1-1" \h \u </w:instrText>
          </w:r>
          <w:r>
            <w:rPr>
              <w:color w:val="auto"/>
              <w:sz w:val="32"/>
              <w:szCs w:val="32"/>
              <w:highlight w:val="none"/>
            </w:rPr>
            <w:fldChar w:fldCharType="separate"/>
          </w:r>
          <w:r/>
        </w:p>
        <w:p>
          <w:pPr>
            <w:pStyle w:val="1206"/>
            <w:spacing w:line="360" w:lineRule="auto"/>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"_Toc339"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第一章投标邀请函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_Toc339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206"/>
            <w:spacing w:line="360" w:lineRule="auto"/>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"_Toc9998"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第二章投标人须知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_Toc9998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206"/>
            <w:spacing w:line="360" w:lineRule="auto"/>
            <w:tabs>
              <w:tab w:val="right" w:pos="8306" w:leader="dot"/>
            </w:tabs>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"_Toc5864"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第三章  合同文本</w:t>
          </w:r>
          <w:r>
            <w:rPr>
              <w:rFonts w:hint="eastAsia" w:ascii="宋体" w:hAnsi="宋体" w:eastAsia="宋体" w:cs="宋体"/>
              <w:color w:val="auto"/>
              <w:sz w:val="32"/>
              <w:szCs w:val="32"/>
              <w:highlight w:val="none"/>
            </w:rPr>
            <w:tab/>
          </w:r>
          <w:r>
            <w:rPr>
              <w:rFonts w:hint="eastAsia" w:ascii="宋体" w:hAnsi="宋体" w:cs="宋体"/>
              <w:color w:val="auto"/>
              <w:sz w:val="32"/>
              <w:szCs w:val="32"/>
              <w:highlight w:val="none"/>
              <w:lang w:val="en-US" w:eastAsia="zh-CN"/>
            </w:rPr>
            <w:t xml:space="preserve">2</w:t>
          </w:r>
          <w:r>
            <w:rPr>
              <w:rFonts w:hint="eastAsia" w:ascii="宋体" w:hAnsi="宋体" w:eastAsia="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5</w:t>
          </w:r>
          <w:r/>
        </w:p>
        <w:p>
          <w:pPr>
            <w:pStyle w:val="1206"/>
            <w:spacing w:line="360" w:lineRule="auto"/>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"_Toc12107"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_Toc12107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206"/>
            <w:spacing w:line="360" w:lineRule="auto"/>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"_Toc29628"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第五章评标方法与评标标准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_Toc29628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206"/>
            <w:spacing w:line="360" w:lineRule="auto"/>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"_Toc27984"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第六章投标文件格式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_Toc27984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rPr>
              <w:color w:val="auto"/>
              <w:highlight w:val="none"/>
            </w:rPr>
          </w:pPr>
          <w:r>
            <w:rPr>
              <w:color w:val="auto"/>
              <w:sz w:val="32"/>
              <w:szCs w:val="32"/>
              <w:highlight w:val="none"/>
            </w:rPr>
            <w:fldChar w:fldCharType="end"/>
          </w:r>
          <w:r/>
        </w:p>
      </w:sdtContent>
    </w:sdt>
    <w:p>
      <w:pPr>
        <w:rPr>
          <w:color w:val="auto"/>
          <w:highlight w:val="none"/>
        </w:rPr>
      </w:pPr>
      <w:r>
        <w:rPr>
          <w:color w:val="auto"/>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pStyle w:val="821"/>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819"/>
        <w:rPr>
          <w:rFonts w:hint="eastAsia" w:ascii="宋体" w:hAnsi="宋体" w:cs="宋体"/>
          <w:color w:val="auto"/>
          <w:sz w:val="22"/>
          <w:highlight w:val="none"/>
        </w:rPr>
      </w:pPr>
      <w:r>
        <w:rPr>
          <w:rFonts w:hint="eastAsia" w:ascii="宋体" w:hAnsi="宋体" w:cs="宋体"/>
          <w:color w:val="auto"/>
          <w:sz w:val="22"/>
          <w:highlight w:val="none"/>
        </w:rPr>
      </w:r>
      <w:r/>
    </w:p>
    <w:p>
      <w:pPr>
        <w:rPr>
          <w:rFonts w:hint="eastAsia" w:ascii="宋体" w:hAnsi="宋体" w:cs="宋体"/>
          <w:color w:val="auto"/>
          <w:sz w:val="22"/>
          <w:highlight w:val="none"/>
        </w:rPr>
      </w:pPr>
      <w:r>
        <w:rPr>
          <w:rFonts w:hint="eastAsia" w:ascii="宋体" w:hAnsi="宋体" w:cs="宋体"/>
          <w:color w:val="auto"/>
          <w:sz w:val="22"/>
          <w:highlight w:val="none"/>
        </w:rPr>
      </w:r>
      <w:r/>
    </w:p>
    <w:p>
      <w:pPr>
        <w:pStyle w:val="821"/>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pStyle w:val="807"/>
        <w:jc w:val="center"/>
        <w:keepLines/>
        <w:keepNext/>
        <w:pageBreakBefore w:val="0"/>
        <w:spacing w:before="181" w:after="181"/>
        <w:widowControl w:val="off"/>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3" w:name="_Toc339"/>
      <w:r>
        <w:rPr>
          <w:rFonts w:hint="eastAsia" w:ascii="宋体" w:hAnsi="宋体" w:eastAsia="宋体" w:cs="宋体"/>
          <w:b/>
          <w:color w:val="auto"/>
          <w:sz w:val="44"/>
          <w:highlight w:val="none"/>
        </w:rPr>
        <w:t xml:space="preserve">第一章投标邀请函</w:t>
      </w:r>
      <w:bookmarkEnd w:id="3"/>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项目概况</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雪亮工程社会面联网项目（二标段）</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JSZC-321324-JSCW-G2025-0106</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招标文件，并于</w:t>
            </w:r>
            <w:r>
              <w:rPr>
                <w:rFonts w:hint="eastAsia" w:ascii="宋体" w:hAnsi="宋体" w:cs="宋体"/>
                <w:b/>
                <w:bCs/>
                <w:color w:val="auto"/>
                <w:sz w:val="24"/>
                <w:szCs w:val="24"/>
                <w:highlight w:val="none"/>
              </w:rPr>
              <w:t xml:space="preserve">2025年</w:t>
            </w:r>
            <w:r>
              <w:rPr>
                <w:rFonts w:hint="eastAsia" w:ascii="宋体" w:hAnsi="宋体" w:cs="宋体"/>
                <w:b/>
                <w:bCs/>
                <w:color w:val="auto"/>
                <w:sz w:val="24"/>
                <w:szCs w:val="24"/>
                <w:highlight w:val="none"/>
                <w:u w:val="single"/>
                <w:lang w:val="en-US" w:eastAsia="zh-CN"/>
              </w:rPr>
              <w:t xml:space="preserve">12</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29</w:t>
            </w:r>
            <w:r>
              <w:rPr>
                <w:rFonts w:hint="eastAsia" w:ascii="宋体" w:hAnsi="宋体" w:cs="宋体"/>
                <w:b/>
                <w:bCs/>
                <w:color w:val="auto"/>
                <w:sz w:val="24"/>
                <w:szCs w:val="24"/>
                <w:highlight w:val="none"/>
              </w:rPr>
              <w:t xml:space="preserve">日09时00分</w:t>
            </w:r>
            <w:r>
              <w:rPr>
                <w:rFonts w:hint="eastAsia" w:ascii="宋体" w:hAnsi="宋体" w:cs="宋体"/>
                <w:color w:val="auto"/>
                <w:sz w:val="24"/>
                <w:szCs w:val="24"/>
                <w:highlight w:val="none"/>
              </w:rPr>
              <w:t xml:space="preserve">（北京时间）前递交投标文件。</w:t>
            </w:r>
            <w:r/>
          </w:p>
        </w:tc>
      </w:tr>
    </w:tbl>
    <w:p>
      <w:pPr>
        <w:ind w:firstLine="482"/>
        <w:pageBreakBefore w:val="0"/>
        <w:spacing w:line="480" w:lineRule="exact"/>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4" w:name="_Toc4358"/>
      <w:r/>
      <w:bookmarkStart w:id="5" w:name="_Toc14953"/>
      <w:r>
        <w:rPr>
          <w:rFonts w:hint="eastAsia" w:ascii="宋体" w:hAnsi="宋体" w:cs="宋体"/>
          <w:b/>
          <w:bCs/>
          <w:color w:val="auto"/>
          <w:sz w:val="24"/>
          <w:szCs w:val="24"/>
          <w:highlight w:val="none"/>
        </w:rPr>
        <w:t xml:space="preserve">一、项目基本情况</w:t>
      </w:r>
      <w:bookmarkEnd w:id="4"/>
      <w:r/>
      <w:bookmarkEnd w:id="5"/>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cs="宋体"/>
          <w:color w:val="auto"/>
          <w:sz w:val="24"/>
          <w:szCs w:val="24"/>
          <w:highlight w:val="none"/>
        </w:rPr>
        <w:t xml:space="preserve">1.项目编号：JSZC-321324-JSCW-G2025-0106 </w:t>
      </w:r>
      <w:r/>
    </w:p>
    <w:p>
      <w:pPr>
        <w:ind w:firstLine="48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雪亮工程社会面联网项目（二标段）</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3.预算金额：53.228万元</w:t>
      </w:r>
      <w:r/>
    </w:p>
    <w:p>
      <w:pPr>
        <w:ind w:firstLine="48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4.本项</w:t>
      </w:r>
      <w:r>
        <w:rPr>
          <w:rFonts w:hint="eastAsia" w:ascii="宋体" w:hAnsi="宋体" w:cs="宋体"/>
          <w:color w:val="auto"/>
          <w:sz w:val="24"/>
          <w:szCs w:val="24"/>
          <w:highlight w:val="none"/>
          <w:u w:val="none"/>
        </w:rPr>
        <w:t xml:space="preserve">目设定最</w:t>
      </w:r>
      <w:r>
        <w:rPr>
          <w:rFonts w:hint="eastAsia" w:ascii="宋体" w:hAnsi="宋体" w:cs="宋体"/>
          <w:color w:val="auto"/>
          <w:sz w:val="24"/>
          <w:szCs w:val="24"/>
          <w:highlight w:val="none"/>
        </w:rPr>
        <w:t xml:space="preserve">高限价，</w:t>
      </w:r>
      <w:r>
        <w:rPr>
          <w:rFonts w:hint="eastAsia" w:ascii="宋体" w:hAnsi="宋体" w:cs="宋体"/>
          <w:color w:val="auto"/>
          <w:sz w:val="24"/>
          <w:szCs w:val="24"/>
          <w:highlight w:val="none"/>
          <w:u w:val="none"/>
        </w:rPr>
        <w:t xml:space="preserve">最高限价为53.228万元</w:t>
      </w:r>
      <w:bookmarkEnd w:id="6"/>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高于此最高限价为无效标。</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7" w:name="OLE_LINK58"/>
      <w:r>
        <w:rPr>
          <w:rFonts w:hint="eastAsia" w:ascii="宋体" w:hAnsi="宋体" w:cs="宋体"/>
          <w:color w:val="auto"/>
          <w:sz w:val="24"/>
          <w:szCs w:val="24"/>
          <w:highlight w:val="none"/>
        </w:rPr>
        <w:t xml:space="preserve">5.采购需求（简介）：</w:t>
      </w:r>
      <w:bookmarkStart w:id="8" w:name="OLE_LINK10"/>
      <w:r/>
      <w:bookmarkStart w:id="9" w:name="OLE_LINK57"/>
      <w:r>
        <w:rPr>
          <w:rFonts w:hint="eastAsia" w:ascii="宋体" w:hAnsi="宋体" w:cs="宋体"/>
          <w:color w:val="auto"/>
          <w:sz w:val="24"/>
          <w:szCs w:val="24"/>
          <w:highlight w:val="none"/>
          <w:lang w:eastAsia="zh-CN"/>
        </w:rPr>
        <w:t xml:space="preserve">雪亮工程社会面联网项目（二标段），</w:t>
      </w:r>
      <w:r>
        <w:rPr>
          <w:rFonts w:hint="eastAsia" w:ascii="宋体" w:hAnsi="宋体" w:cs="宋体"/>
          <w:color w:val="auto"/>
          <w:sz w:val="24"/>
          <w:szCs w:val="24"/>
          <w:highlight w:val="none"/>
          <w:lang w:val="en-US" w:eastAsia="zh-CN"/>
        </w:rPr>
        <w:t xml:space="preserve">主要内容为移动警务终端及配套业务使用服务。</w:t>
      </w:r>
      <w:r>
        <w:rPr>
          <w:rFonts w:hint="eastAsia" w:ascii="宋体" w:hAnsi="宋体" w:cs="宋体"/>
          <w:color w:val="auto"/>
          <w:sz w:val="24"/>
          <w:szCs w:val="24"/>
          <w:highlight w:val="none"/>
        </w:rPr>
        <w:t xml:space="preserve">（详细内容见本招标文件第四章）</w:t>
      </w:r>
      <w:bookmarkEnd w:id="8"/>
      <w:r/>
      <w:bookmarkEnd w:id="9"/>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w:t>
      </w:r>
      <w:bookmarkStart w:id="10" w:name="OLE_LINK36"/>
      <w:r>
        <w:rPr>
          <w:rFonts w:hint="eastAsia" w:ascii="宋体" w:hAnsi="宋体" w:cs="宋体"/>
          <w:color w:val="auto"/>
          <w:sz w:val="24"/>
          <w:szCs w:val="24"/>
          <w:highlight w:val="none"/>
        </w:rPr>
        <w:t xml:space="preserve">合同履行期限：</w:t>
      </w:r>
      <w:bookmarkEnd w:id="7"/>
      <w:r/>
      <w:bookmarkEnd w:id="10"/>
      <w:r>
        <w:rPr>
          <w:rFonts w:hint="eastAsia" w:ascii="宋体" w:hAnsi="宋体" w:cs="宋体"/>
          <w:color w:val="auto"/>
          <w:sz w:val="24"/>
          <w:szCs w:val="24"/>
          <w:highlight w:val="none"/>
        </w:rPr>
        <w:t xml:space="preserve">移动警务终端在合同签订后10日内交付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终端配套业务使用服务期限12个月</w:t>
      </w:r>
      <w:r>
        <w:rPr>
          <w:rFonts w:hint="eastAsia" w:ascii="宋体" w:hAnsi="宋体" w:cs="宋体"/>
          <w:color w:val="auto"/>
          <w:sz w:val="24"/>
          <w:szCs w:val="24"/>
          <w:highlight w:val="none"/>
        </w:rPr>
        <w:t xml:space="preserve">。</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7.本项目 </w:t>
      </w:r>
      <w:r>
        <w:rPr>
          <w:rFonts w:hint="eastAsia" w:ascii="宋体" w:hAnsi="宋体" w:cs="宋体"/>
          <w:color w:val="auto"/>
          <w:sz w:val="24"/>
          <w:szCs w:val="24"/>
          <w:highlight w:val="none"/>
          <w:u w:val="single"/>
        </w:rPr>
        <w:t xml:space="preserve">不接受 </w:t>
      </w:r>
      <w:r>
        <w:rPr>
          <w:rFonts w:hint="eastAsia" w:ascii="宋体" w:hAnsi="宋体" w:cs="宋体"/>
          <w:color w:val="auto"/>
          <w:sz w:val="24"/>
          <w:szCs w:val="24"/>
          <w:highlight w:val="none"/>
        </w:rPr>
        <w:t xml:space="preserve">联合体投标。</w:t>
      </w:r>
      <w:r/>
    </w:p>
    <w:p>
      <w:pPr>
        <w:ind w:firstLine="482"/>
        <w:pageBreakBefore w:val="0"/>
        <w:spacing w:line="480" w:lineRule="exact"/>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11" w:name="_Toc23418"/>
      <w:r/>
      <w:bookmarkStart w:id="12" w:name="_Toc12106"/>
      <w:r>
        <w:rPr>
          <w:rFonts w:hint="eastAsia" w:ascii="宋体" w:hAnsi="宋体" w:cs="宋体"/>
          <w:b/>
          <w:bCs/>
          <w:color w:val="auto"/>
          <w:sz w:val="24"/>
          <w:szCs w:val="24"/>
          <w:highlight w:val="none"/>
        </w:rPr>
        <w:t xml:space="preserve">二、申请人的资格要求：</w:t>
      </w:r>
      <w:bookmarkEnd w:id="11"/>
      <w:r/>
      <w:bookmarkEnd w:id="12"/>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（一）通用资格要求</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3" w:name="OLE_LINK59"/>
      <w:r/>
      <w:bookmarkStart w:id="14" w:name="OLE_LINK33"/>
      <w:r>
        <w:rPr>
          <w:rFonts w:hint="eastAsia" w:ascii="宋体" w:hAnsi="宋体" w:cs="宋体"/>
          <w:color w:val="auto"/>
          <w:sz w:val="24"/>
          <w:szCs w:val="24"/>
          <w:highlight w:val="none"/>
        </w:rPr>
        <w:t xml:space="preserve">1.</w:t>
      </w:r>
      <w:bookmarkStart w:id="15" w:name="OLE_LINK16"/>
      <w:r>
        <w:rPr>
          <w:rFonts w:hint="eastAsia" w:ascii="宋体" w:hAnsi="宋体" w:cs="宋体"/>
          <w:color w:val="auto"/>
          <w:sz w:val="24"/>
          <w:szCs w:val="24"/>
          <w:highlight w:val="none"/>
        </w:rPr>
        <w:t xml:space="preserve">具备《中华人民共和国政府采购法》第二十二条第一款规定的6项条件（按要求提供投标声明及承诺函）。</w:t>
      </w:r>
      <w:bookmarkEnd w:id="13"/>
      <w:r/>
      <w:bookmarkEnd w:id="15"/>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bookmarkEnd w:id="14"/>
      <w:r>
        <w:rPr>
          <w:rFonts w:hint="eastAsia" w:ascii="宋体" w:hAnsi="宋体" w:cs="宋体"/>
          <w:color w:val="auto"/>
          <w:sz w:val="24"/>
          <w:szCs w:val="24"/>
          <w:highlight w:val="none"/>
        </w:rPr>
        <w:t xml:space="preserve">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szCs w:val="24"/>
          <w:highlight w:val="none"/>
          <w:lang w:val="en-US" w:eastAsia="zh-CN"/>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（三）本项目的特定资格要求：无。</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注：单位负责人为同一人或者存在直接控股、管理关系的不同供应商，不得参加同一合同项下的政府采购活动。否则，相关投标均无效。</w:t>
      </w:r>
      <w:r/>
    </w:p>
    <w:p>
      <w:pPr>
        <w:pStyle w:val="809"/>
        <w:ind w:firstLine="482"/>
        <w:pageBreakBefore w:val="0"/>
        <w:spacing w:before="0" w:after="0"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6" w:name="_Toc16100"/>
      <w:r/>
      <w:bookmarkStart w:id="17" w:name="_Toc16292"/>
      <w:r>
        <w:rPr>
          <w:rFonts w:hint="eastAsia" w:ascii="宋体" w:hAnsi="宋体" w:eastAsia="宋体" w:cs="宋体"/>
          <w:b/>
          <w:bCs/>
          <w:color w:val="auto"/>
          <w:sz w:val="24"/>
          <w:szCs w:val="24"/>
          <w:highlight w:val="none"/>
        </w:rPr>
        <w:t xml:space="preserve">三、获取招标文件</w:t>
      </w:r>
      <w:bookmarkEnd w:id="16"/>
      <w:r/>
      <w:bookmarkEnd w:id="17"/>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1.时间：自招标文件公告发布之日起5个工作日</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2.地点：</w:t>
      </w:r>
      <w:bookmarkStart w:id="18" w:name="OLE_LINK32"/>
      <w:r>
        <w:rPr>
          <w:rFonts w:hint="eastAsia" w:ascii="宋体" w:hAnsi="宋体" w:cs="宋体"/>
          <w:color w:val="auto"/>
          <w:sz w:val="24"/>
          <w:szCs w:val="24"/>
          <w:highlight w:val="none"/>
        </w:rPr>
        <w:t xml:space="preserve">招标文件提供的时间内，通过“苏采云”系统（网址： http://jszfcg.jsczt.cn/）或宿迁市政府采购网点击“政府采购管理交易系统（苏采云）”，使用CA锁进入系统从“项目参与”--“采购项目”菜单中，找到本项目。</w:t>
      </w:r>
      <w:bookmarkEnd w:id="18"/>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4.本项目共分一个包。投标人参与多个采购包投标的，应按采购包分别获取招标文件。投标人未按要求获取招标文件导致无法投标的，后果自负（其投标文件不予接受）。</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售价：0.00元 </w:t>
      </w:r>
      <w:r/>
    </w:p>
    <w:p>
      <w:pPr>
        <w:pStyle w:val="809"/>
        <w:ind w:firstLine="482"/>
        <w:pageBreakBefore w:val="0"/>
        <w:spacing w:before="0" w:after="0"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9" w:name="_Toc19026"/>
      <w:r/>
      <w:bookmarkStart w:id="20" w:name="_Toc30725"/>
      <w:r>
        <w:rPr>
          <w:rFonts w:hint="eastAsia" w:ascii="宋体" w:hAnsi="宋体" w:eastAsia="宋体" w:cs="宋体"/>
          <w:b/>
          <w:bCs/>
          <w:color w:val="auto"/>
          <w:sz w:val="24"/>
          <w:szCs w:val="24"/>
          <w:highlight w:val="none"/>
        </w:rPr>
        <w:t xml:space="preserve">四、提交投标文件截止时间、开标时间和地点</w:t>
      </w:r>
      <w:bookmarkEnd w:id="19"/>
      <w:r/>
      <w:bookmarkEnd w:id="20"/>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auto"/>
          <w:sz w:val="24"/>
          <w:szCs w:val="24"/>
          <w:highlight w:val="none"/>
          <w:u w:val="single"/>
        </w:rPr>
        <w:t xml:space="preserve">2025年</w:t>
      </w:r>
      <w:r>
        <w:rPr>
          <w:rFonts w:hint="eastAsia" w:ascii="宋体" w:hAnsi="宋体" w:cs="宋体"/>
          <w:color w:val="auto"/>
          <w:sz w:val="24"/>
          <w:szCs w:val="24"/>
          <w:highlight w:val="none"/>
          <w:u w:val="single"/>
          <w:lang w:val="en-US" w:eastAsia="zh-CN"/>
        </w:rPr>
        <w:t xml:space="preserve">12</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cs="宋体"/>
          <w:color w:val="auto"/>
          <w:sz w:val="24"/>
          <w:szCs w:val="24"/>
          <w:highlight w:val="none"/>
          <w:u w:val="single"/>
        </w:rPr>
        <w:t xml:space="preserve">日09点00分</w:t>
      </w:r>
      <w:r>
        <w:rPr>
          <w:rFonts w:hint="eastAsia" w:ascii="宋体" w:hAnsi="宋体" w:cs="宋体"/>
          <w:color w:val="auto"/>
          <w:sz w:val="24"/>
          <w:szCs w:val="24"/>
          <w:highlight w:val="none"/>
        </w:rPr>
        <w:t xml:space="preserve">（北京时间）</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地点：“苏采云”系统（网址：http://jszfcg.jsczt.cn/）。</w:t>
      </w:r>
      <w:r/>
    </w:p>
    <w:p>
      <w:pPr>
        <w:pStyle w:val="809"/>
        <w:ind w:firstLine="482"/>
        <w:pageBreakBefore w:val="0"/>
        <w:spacing w:before="0" w:after="0"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1" w:name="_Toc20976"/>
      <w:r/>
      <w:bookmarkStart w:id="22" w:name="_Toc10887"/>
      <w:r>
        <w:rPr>
          <w:rFonts w:hint="eastAsia" w:ascii="宋体" w:hAnsi="宋体" w:eastAsia="宋体" w:cs="宋体"/>
          <w:b/>
          <w:bCs/>
          <w:color w:val="auto"/>
          <w:sz w:val="24"/>
          <w:szCs w:val="24"/>
          <w:highlight w:val="none"/>
        </w:rPr>
        <w:t xml:space="preserve">五、公告期限</w:t>
      </w:r>
      <w:bookmarkEnd w:id="21"/>
      <w:r/>
      <w:bookmarkEnd w:id="22"/>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809"/>
        <w:ind w:firstLine="482"/>
        <w:pageBreakBefore w:val="0"/>
        <w:spacing w:before="0" w:after="0"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3" w:name="_Toc26102"/>
      <w:r/>
      <w:bookmarkStart w:id="24" w:name="_Toc11992"/>
      <w:r>
        <w:rPr>
          <w:rFonts w:hint="eastAsia" w:ascii="宋体" w:hAnsi="宋体" w:eastAsia="宋体" w:cs="宋体"/>
          <w:b/>
          <w:bCs/>
          <w:color w:val="auto"/>
          <w:sz w:val="24"/>
          <w:szCs w:val="24"/>
          <w:highlight w:val="none"/>
        </w:rPr>
        <w:t xml:space="preserve">六、其他补充事宜</w:t>
      </w:r>
      <w:bookmarkEnd w:id="23"/>
      <w:r/>
      <w:bookmarkEnd w:id="24"/>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5" w:name="OLE_LINK35"/>
      <w:r>
        <w:rPr>
          <w:rFonts w:hint="eastAsia" w:ascii="宋体" w:hAnsi="宋体" w:cs="宋体"/>
          <w:color w:val="auto"/>
          <w:sz w:val="24"/>
          <w:szCs w:val="24"/>
          <w:highlight w:val="none"/>
        </w:rPr>
        <w:t xml:space="preserve">1.财政部门监督电话</w:t>
      </w:r>
      <w:r>
        <w:rPr>
          <w:rFonts w:hint="eastAsia" w:ascii="宋体" w:hAnsi="宋体" w:cs="宋体"/>
          <w:b w:val="0"/>
          <w:bCs w:val="0"/>
          <w:color w:val="auto"/>
          <w:sz w:val="24"/>
          <w:szCs w:val="24"/>
          <w:highlight w:val="none"/>
          <w:u w:val="none"/>
        </w:rPr>
        <w:t xml:space="preserve">：0527-88359233。</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3.宿迁地区“苏采云”技术支持客服电话：0527-84225125、0519-86722806。</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4.如果投标人通过苏采云系统参与政府采购项目，相关操作手册详见</w:t>
      </w:r>
      <w:r>
        <w:rPr>
          <w:rFonts w:hint="eastAsia" w:ascii="宋体" w:hAnsi="宋体" w:cs="宋体"/>
          <w:color w:val="auto"/>
          <w:sz w:val="24"/>
          <w:szCs w:val="24"/>
          <w:highlight w:val="none"/>
          <w:lang w:eastAsia="zh-CN"/>
        </w:rPr>
        <w:t xml:space="preserve">链接</w:t>
      </w:r>
      <w:r>
        <w:rPr>
          <w:rFonts w:hint="eastAsia" w:ascii="宋体" w:hAnsi="宋体" w:cs="宋体"/>
          <w:color w:val="auto"/>
          <w:sz w:val="24"/>
          <w:szCs w:val="24"/>
          <w:highlight w:val="none"/>
        </w:rPr>
        <w:t xml:space="preserve">：http://www.ccgpjiangsu.gov.cn/jiangsu/zlxz/ee/ee3a4bc5a3454aa2b0d9312230633ce9.html。</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 </w:t>
      </w:r>
      <w:bookmarkEnd w:id="25"/>
      <w:r/>
      <w:r/>
    </w:p>
    <w:p>
      <w:pPr>
        <w:pStyle w:val="809"/>
        <w:ind w:firstLine="482"/>
        <w:pageBreakBefore w:val="0"/>
        <w:spacing w:before="0" w:after="0"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6" w:name="_Toc28105"/>
      <w:r/>
      <w:bookmarkStart w:id="27" w:name="_Toc962"/>
      <w:r>
        <w:rPr>
          <w:rFonts w:hint="eastAsia" w:ascii="宋体" w:hAnsi="宋体" w:eastAsia="宋体" w:cs="宋体"/>
          <w:b/>
          <w:bCs/>
          <w:color w:val="auto"/>
          <w:sz w:val="24"/>
          <w:szCs w:val="24"/>
          <w:highlight w:val="none"/>
        </w:rPr>
        <w:t xml:space="preserve">七、本次招标联系方式</w:t>
      </w:r>
      <w:bookmarkEnd w:id="26"/>
      <w:r/>
      <w:bookmarkEnd w:id="27"/>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8" w:name="_Toc28359087"/>
      <w:r/>
      <w:bookmarkStart w:id="29" w:name="_Toc28359010"/>
      <w:r/>
      <w:bookmarkStart w:id="30" w:name="_Toc28359009"/>
      <w:r/>
      <w:bookmarkStart w:id="31" w:name="_Toc28359086"/>
      <w:r>
        <w:rPr>
          <w:rFonts w:hint="eastAsia" w:ascii="宋体" w:hAnsi="宋体" w:cs="宋体"/>
          <w:color w:val="auto"/>
          <w:sz w:val="24"/>
          <w:szCs w:val="24"/>
          <w:highlight w:val="none"/>
        </w:rPr>
        <w:t xml:space="preserve">1.采购人信息</w:t>
      </w:r>
      <w:bookmarkEnd w:id="28"/>
      <w:r/>
      <w:bookmarkEnd w:id="29"/>
      <w:r/>
      <w:bookmarkEnd w:id="30"/>
      <w:r/>
      <w:bookmarkEnd w:id="31"/>
      <w:r/>
      <w:r/>
    </w:p>
    <w:p>
      <w:pPr>
        <w:ind w:firstLine="48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泗洪县公安局</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地址：泗洪县淮河东路6号</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联系人：陈言兵  </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联系方式：15950613231　 </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2.采购代理机构信息</w:t>
      </w:r>
      <w:r/>
    </w:p>
    <w:p>
      <w:pPr>
        <w:ind w:firstLine="48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江苏春为全过程工程咨询有限公司</w:t>
      </w:r>
      <w:r/>
    </w:p>
    <w:p>
      <w:pPr>
        <w:ind w:firstLine="48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泗洪县明德紫郡东门商铺往南50米</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刘欣</w:t>
      </w:r>
      <w:r/>
    </w:p>
    <w:p>
      <w:pPr>
        <w:ind w:firstLine="48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18851398356</w:t>
      </w:r>
      <w:r/>
    </w:p>
    <w:p>
      <w:pPr>
        <w:pStyle w:val="809"/>
        <w:ind w:firstLine="482"/>
        <w:pageBreakBefore w:val="0"/>
        <w:spacing w:before="0" w:after="0"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32" w:name="_Toc7987"/>
      <w:r/>
      <w:bookmarkStart w:id="33" w:name="_Toc23868"/>
      <w:r>
        <w:rPr>
          <w:rFonts w:hint="eastAsia" w:ascii="宋体" w:hAnsi="宋体" w:eastAsia="宋体" w:cs="宋体"/>
          <w:b/>
          <w:bCs/>
          <w:color w:val="auto"/>
          <w:sz w:val="24"/>
          <w:szCs w:val="24"/>
          <w:highlight w:val="none"/>
        </w:rPr>
        <w:t xml:space="preserve">八、其他</w:t>
      </w:r>
      <w:bookmarkEnd w:id="32"/>
      <w:r/>
      <w:bookmarkEnd w:id="33"/>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1.有关本次招标的事项若存在变动或修改，敬请及时关注“宿迁市政府采购网”等平台更正公告。</w:t>
      </w:r>
      <w:r/>
    </w:p>
    <w:p>
      <w:pPr>
        <w:ind w:firstLine="48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2.本次招标不收取投标保证金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r>
      <w:r/>
    </w:p>
    <w:p>
      <w:pPr>
        <w:ind w:firstLine="480"/>
        <w:jc w:val="center"/>
        <w:spacing w:line="55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bookmarkStart w:id="34" w:name="_Toc9998"/>
      <w:r>
        <w:rPr>
          <w:rFonts w:hint="eastAsia" w:ascii="宋体" w:hAnsi="宋体" w:eastAsia="宋体" w:cs="宋体"/>
          <w:b/>
          <w:color w:val="auto"/>
          <w:sz w:val="44"/>
          <w:highlight w:val="none"/>
        </w:rPr>
        <w:t xml:space="preserve">第二章投标人须知</w:t>
      </w:r>
      <w:bookmarkEnd w:id="34"/>
      <w:r>
        <w:rPr>
          <w:rFonts w:hint="eastAsia" w:ascii="宋体" w:hAnsi="宋体" w:cs="宋体"/>
          <w:color w:val="auto"/>
          <w:highlight w:val="none"/>
        </w:rPr>
      </w:r>
      <w:r/>
    </w:p>
    <w:p>
      <w:pPr>
        <w:pStyle w:val="808"/>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投标人须知前附表：</w:t>
      </w:r>
      <w:r>
        <w:rPr>
          <w:rFonts w:hint="eastAsia" w:ascii="宋体" w:hAnsi="宋体" w:eastAsia="宋体" w:cs="宋体"/>
          <w:color w:val="auto"/>
          <w:sz w:val="24"/>
          <w:szCs w:val="24"/>
          <w:highlight w:val="none"/>
        </w:rPr>
        <w:t xml:space="preserve"> </w:t>
      </w:r>
      <w:r/>
    </w:p>
    <w:tbl>
      <w:tblPr>
        <w:tblStyle w:val="817"/>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9"/>
        <w:gridCol w:w="6598"/>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bookmarkStart w:id="35" w:name="RANGE!C2"/>
            <w:r>
              <w:rPr>
                <w:rFonts w:hint="eastAsia" w:ascii="宋体" w:hAnsi="宋体" w:eastAsia="宋体" w:cs="宋体"/>
                <w:color w:val="auto"/>
                <w:sz w:val="24"/>
                <w:szCs w:val="24"/>
                <w:highlight w:val="none"/>
              </w:rPr>
              <w:t xml:space="preserve">本招标文件中“当地公共资源交易中心”是指：</w:t>
            </w:r>
            <w:bookmarkEnd w:id="35"/>
            <w:r>
              <w:rPr>
                <w:rFonts w:hint="eastAsia" w:ascii="宋体" w:hAnsi="宋体" w:eastAsia="宋体" w:cs="宋体"/>
                <w:color w:val="auto"/>
                <w:sz w:val="24"/>
                <w:szCs w:val="24"/>
                <w:highlight w:val="none"/>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bookmarkStart w:id="36" w:name="RANGE!C3"/>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种确定：</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bookmarkEnd w:id="36"/>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bookmarkStart w:id="37" w:name="RANGE!C4"/>
            <w:r>
              <w:rPr>
                <w:rFonts w:hint="eastAsia" w:ascii="宋体" w:hAnsi="宋体" w:eastAsia="宋体" w:cs="宋体"/>
                <w:color w:val="auto"/>
                <w:sz w:val="24"/>
                <w:szCs w:val="24"/>
                <w:highlight w:val="none"/>
              </w:rPr>
              <w:t xml:space="preserve">60日（从提交投标文件截止之日起算）</w:t>
            </w:r>
            <w:bookmarkEnd w:id="37"/>
            <w:r>
              <w:rPr>
                <w:rFonts w:hint="eastAsia" w:ascii="宋体" w:hAnsi="宋体" w:eastAsia="宋体" w:cs="宋体"/>
                <w:color w:val="auto"/>
                <w:sz w:val="24"/>
                <w:szCs w:val="24"/>
                <w:highlight w:val="none"/>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 号文)、《关于政府采购进口产品管理有关问题的通知》(财办库(2008)248号文)等相关规定;</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评标委员会依据招标文件规定评标办法和标准推荐</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种方式确定中标人：</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1.采购人授权评标委员会直接确定中标人；</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2.采购人按照规定在评标委员会推荐的中标候选人中按顺序确定中标人。</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bookmarkStart w:id="38"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38"/>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39"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39"/>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rPr>
              <w:t xml:space="preserve">。</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tc>
      </w:tr>
    </w:tbl>
    <w:p>
      <w:pPr>
        <w:pStyle w:val="915"/>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一、总则</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1、招标方式</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2、合格的投标人</w:t>
      </w:r>
      <w:r/>
    </w:p>
    <w:p>
      <w:pPr>
        <w:pStyle w:val="822"/>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2.1合格的投标人必须符合招标文件第一部分《</w:t>
      </w:r>
      <w:bookmarkStart w:id="40" w:name="OLE_LINK60"/>
      <w:r>
        <w:rPr>
          <w:rFonts w:hint="eastAsia" w:ascii="宋体" w:hAnsi="宋体" w:eastAsia="宋体" w:cs="宋体"/>
          <w:color w:val="auto"/>
          <w:sz w:val="24"/>
          <w:szCs w:val="24"/>
          <w:highlight w:val="none"/>
        </w:rPr>
        <w:t xml:space="preserve">投标邀请函</w:t>
      </w:r>
      <w:bookmarkEnd w:id="40"/>
      <w:r>
        <w:rPr>
          <w:rFonts w:hint="eastAsia" w:ascii="宋体" w:hAnsi="宋体" w:eastAsia="宋体" w:cs="宋体"/>
          <w:color w:val="auto"/>
          <w:sz w:val="24"/>
          <w:szCs w:val="24"/>
          <w:highlight w:val="none"/>
        </w:rPr>
        <w:t xml:space="preserve">》第二条及投标人须知前附表相关规定，且具备完成本项目的能力，中标后不允许转包。</w:t>
      </w:r>
      <w:r/>
    </w:p>
    <w:p>
      <w:pPr>
        <w:pStyle w:val="822"/>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2.2合格的投标人应遵守《中华人民共和国政府采购法》《中华人民共和国政府采购法实施条例》《中华人民共和国民法典（第三编合同）》等有关法律、法规。</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3、适用法律</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4、投标费用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江苏春为全过程工程咨询有限公司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 4.2.2 </w:t>
      </w:r>
      <w:r>
        <w:rPr>
          <w:rFonts w:hint="eastAsia" w:ascii="宋体" w:hAnsi="宋体" w:eastAsia="宋体" w:cs="宋体"/>
          <w:color w:val="auto"/>
          <w:sz w:val="24"/>
          <w:szCs w:val="24"/>
          <w:highlight w:val="none"/>
        </w:rPr>
        <w:t xml:space="preserve">种方式执行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4.2.1无需支付；</w:t>
      </w:r>
      <w:r/>
    </w:p>
    <w:p>
      <w:pPr>
        <w:pStyle w:val="1184"/>
        <w:ind w:firstLine="48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rPr>
        <w:t xml:space="preserve">4.2.2</w:t>
      </w:r>
      <w:r>
        <w:rPr>
          <w:rFonts w:hint="eastAsia" w:ascii="宋体" w:hAnsi="宋体" w:eastAsia="宋体" w:cs="宋体"/>
          <w:color w:val="auto"/>
          <w:sz w:val="24"/>
          <w:szCs w:val="24"/>
          <w:highlight w:val="none"/>
          <w:lang w:val="zh-CN"/>
        </w:rPr>
        <w:t xml:space="preserve">具体方式及标准为：</w:t>
      </w:r>
      <w:r>
        <w:rPr>
          <w:rFonts w:hint="eastAsia" w:ascii="宋体" w:hAnsi="宋体" w:eastAsia="宋体" w:cs="宋体"/>
          <w:color w:val="auto"/>
          <w:sz w:val="24"/>
          <w:szCs w:val="24"/>
          <w:highlight w:val="none"/>
          <w:u w:val="single"/>
          <w:lang w:val="en-US" w:eastAsia="zh-CN"/>
        </w:rPr>
        <w:t xml:space="preserve">代理费6000元。可以数字人民币支付。</w:t>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二、招标文件</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5、招标文件构成</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5.1招标文件由以下部分组成：</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（1）第一章 投标邀请</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（2）第二章 投标人须知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（3）第三章 合同文本</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（4）第四章 采购需求</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（5）第五章 评标方法与评标标准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（6）第六章 投标文件格式</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6、政府采购政策功能落实</w:t>
      </w:r>
      <w:r/>
    </w:p>
    <w:p>
      <w:pPr>
        <w:ind w:firstLine="482"/>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本项目落实的政府采购政策对应序号为</w:t>
      </w:r>
      <w:r>
        <w:rPr>
          <w:rFonts w:hint="eastAsia" w:ascii="宋体" w:hAnsi="宋体" w:eastAsia="宋体" w:cs="宋体"/>
          <w:b/>
          <w:bCs/>
          <w:color w:val="auto"/>
          <w:sz w:val="24"/>
          <w:szCs w:val="24"/>
          <w:highlight w:val="none"/>
          <w:u w:val="single"/>
        </w:rPr>
        <w:t xml:space="preserve">  6.1 、6.2、6.3、6.4  </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6.1中小企业政策</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种政策落实：</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扣除，用扣除后的价格参加评审。</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6.2节能产品、环境标志产品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6.2.2采购人拟采购的产品属于优先采购的节能环保品目清单范围的，按以下条件优先采购：</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6.3政府采购需求标准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6.3.1商品包装、快递包装政府采购需求标准（试行）</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6.3.2绿色数据中心政府采购需求标准（试行）</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6.3.3绿色建材政府采购需求标准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7、招标文件的澄清</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任何要求对招标文件进行澄清的投标人，应在投标截止期十日前按招标公告中的通讯地址，以书面形式通知采购代理机构。</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8、招标文件的修改</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8.2 在投标截止时间前，采购代理机构可以对招标文件进行修改。</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8.3 采购代理机构有权按照法定的要求推迟投标截止日期和开标日期。</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三、投标文件的编制</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9、投标文件的语言及度量衡单位</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10、投标文件构成</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各投标人在编制投标文件时请按照招标文件第六章规定的格式进行，混乱的编排导致投标文件被误读或评委会查找不到有效文件是投标人的风险。</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10.6中标后按相关要求提供与电子投标文件一致的纸质打印投标文件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份。 </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11、证明投标人及投标标的符合招标文件规定的文件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12、投标分项报价表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 投标人应按照招标文件规定格式填报投标分项报价表。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 投标货币。投标文件中的单价和总价无特殊规定的采用人民币报价，以元为单位标注。招标文件中另有规定的按规定执行。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12.3本项目不接受备选的投标方案或有选择的报价，只允许有一个报价。投标报价采用总承包方式，“投标总报价”应包括所投货物（包含与货物相关的服务）费用、安装调试费、测试验收费、售后服务费、税金、国内运输保险、报关清关（如果有）、开证（如果有）、办理全套免税手续费用及其他有关的为完成本项目发生的所有费用，招标文件中另有规定的除外。</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41" w:name="OLE_LINK61"/>
      <w:r>
        <w:rPr>
          <w:rFonts w:hint="eastAsia" w:ascii="宋体" w:hAnsi="宋体" w:eastAsia="宋体" w:cs="宋体"/>
          <w:color w:val="auto"/>
          <w:sz w:val="24"/>
          <w:szCs w:val="24"/>
          <w:highlight w:val="none"/>
        </w:rPr>
        <w:t xml:space="preserve">13、技术要求响应及偏离表、商务要求响应及偏离表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 投标人可在投标文件中提供认为需要的其他技术文件或说明。</w:t>
      </w:r>
      <w:r/>
    </w:p>
    <w:p>
      <w:pPr>
        <w:ind w:firstLine="482"/>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14、服务承诺、培训计划、人员安排及其他</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15、投标声明及承诺函和开标一览表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15.1投标人应按照招标文件中提供的格式完整、正确填写投标声明及承诺函、开标一览表。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bookmarkEnd w:id="41"/>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16、投标有效期</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17、投标有效期的延长</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 </w:t>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四、投标文件的递交</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18、投标文件的递交</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18.1投标人应当按照《操作手册》规定，在投标截止时间前制作并上传电子投标文件。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19、投标截止时间</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19.2采购代理机构可以按照规定，通过修改招标文件酌情延长投标截止时间，在此情况下，投标人的所有权利和义务以及投标人受制的截止时间均应以延长后新的截止时间为准。</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20、投标文件的拒收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20.1采购代理机构拒绝接收在其规定的投标截止时间后上传的任何投标文件。</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21、投标文件的撤回和修改</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 投标文件的撤回</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21.1.1 电子投标文件的撤回</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五、开标与评标</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22、开标</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23、评标委员会</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24、评标过程的保密与公正</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24.1凡是与审查、澄清、评价和比较投标的有关资料以及授标建议等，采购人、评委、采购代理机构均不得向投标人或与评标无关的其他人员透露。</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 采购代理机构和评委会不向未中标的投标人解释未中标原因，也不公布评标过程中的相关细节。</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25、投标文件的澄清</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评委会并非对每个投标人都做澄清要求。</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26、对投标文件的初审</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26.1投标文件初审分为资格审查和符合性审查。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26.1.1 资格审查：依据法律法规和招标文件的规定，由采购人或其委托的代理机构对投标文件中的资格证明文件进行审查，以确定投标人是否具备投标资格。</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26.4评委会将对确定为实质性响应的投标进行进一步审核，确定其是否有计算上或累加上的算术错误，修正错误的原则如下：</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同时出现两种以上错误的，按照前款规定的顺序修正。</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26.7投标人在开、评标全过程中应随时保持系统在线，及时在“苏采云”系统查阅、答复相关信息。</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27、无效投标条款和废标条款</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27.1无效投标条款</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27.1.1投标人在“苏采云”系统规定的时间内未成功解密电子投标文件的。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27.1.2 投标人未按照招标文件要求上传电子投标文件的。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27.1.3同一投标人提交两个（含两个）以上不同的投标报价的。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27.1.4投标人不具备招标文件中规定资格要求的。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27.1.5投标人的报价超过了采购预算或最高限价的。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27.1.6未通过符合性审查的。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加斜体下划线内容或打“★”内容为实质性要求和条件）。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27.1.9 投标文件含有采购人不能接受的附加条件的。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27.1.12 投标文件未按照招标文件要求加盖CA电子公章的。</w:t>
      </w:r>
      <w:r/>
    </w:p>
    <w:p>
      <w:pPr>
        <w:ind w:firstLine="482"/>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27.1.13评审过程中出现下列情形之一的，评审委员会应当启动异常低价投标（响应）审查程序： </w:t>
      </w:r>
      <w:r/>
    </w:p>
    <w:p>
      <w:pPr>
        <w:ind w:firstLine="482"/>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（1）投标（响应）报价低于采购项目预算50% 的，即投标（响应）报价&lt;采购项目预算×50% ；</w:t>
      </w:r>
      <w:r/>
    </w:p>
    <w:p>
      <w:pPr>
        <w:ind w:firstLine="482"/>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（2）投标（响应）报价低于采购项目最高限价45%的，即投标（响应）报价&lt;采购项目最高限价×45% ； </w:t>
      </w:r>
      <w:r/>
    </w:p>
    <w:p>
      <w:pPr>
        <w:ind w:firstLine="482"/>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（3）评审委员会认定的供应商报价过低、有可能影响产品质量或者不能诚信履约的其他情形。 </w:t>
      </w:r>
      <w:r/>
    </w:p>
    <w:p>
      <w:pPr>
        <w:ind w:firstLine="482"/>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27.1.14其他法律、法规及本招标文件规定的属无效投标的。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27.2废标条款</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27.2.1符合专业条件的投标人或者对招标文件作实质响应的投标人不足三家的。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27.2.2出现影响采购公正的违法、违规行为的。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27.2.3因重大变故，采购任务取消的。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27.2.4评委会认定招标文件存在歧义、重大缺陷导致评审工作无法进行。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27.2.5 因“苏采云”系统系统故障原因造成开标不成功的。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 投标截止时间结束后参加投标的投标人不足三家的处理：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六、定标</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28、确定中标单位</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28.1中标候选人的选取原则和数量见招标文件第五章规定。 </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 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种方式确定中标人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（1）评委会直接确定排名第一的中标候选人为中标人；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（2）采购人在评委会推荐的中标候选人中按顺序确定中标人。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 采购代理机构将在“宿迁市政府采购网”发布中标公告，公告期限为1个工作日。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28.4.4与采购人或者其他投标人恶意串通的。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28.4.5采取不正当手段诋毁、排挤其他投标人的。</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 有下列情形之一的，视为投标人串通投标，投标无效：</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29、质疑处理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 提出质疑的投标人应当是参与所质疑项目采购活动的投标人。潜在投标人依法获取其可质疑的采购文件的，可以对采购文件提出质疑。</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接收质疑函的方式：现场接收或邮寄接收。</w:t>
      </w:r>
      <w:r/>
    </w:p>
    <w:p>
      <w:pPr>
        <w:ind w:firstLine="480"/>
        <w:pageBreakBefore w:val="0"/>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泗洪县公安局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江苏春为全过程工程咨询有限公司</w:t>
      </w:r>
      <w:r/>
    </w:p>
    <w:p>
      <w:pPr>
        <w:ind w:firstLine="480"/>
        <w:pageBreakBefore w:val="0"/>
        <w:spacing w:line="48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联系电话：15950613231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18851398356</w:t>
      </w:r>
      <w:r/>
    </w:p>
    <w:p>
      <w:pPr>
        <w:ind w:firstLine="480"/>
        <w:pageBreakBefore w:val="0"/>
        <w:spacing w:line="48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通讯地址：泗洪县淮河东路6号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泗洪县明德紫郡东门商铺往南50米</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29.5.4 未参加投标活动的投标人或在投标活动中自身权益未受到损害的投标人所提出的质疑。</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30、中标通知书</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809"/>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签订合同</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42" w:name="OLE_LINK62"/>
      <w:r>
        <w:rPr>
          <w:rFonts w:hint="eastAsia" w:ascii="宋体" w:hAnsi="宋体" w:eastAsia="宋体" w:cs="宋体"/>
          <w:color w:val="auto"/>
          <w:sz w:val="24"/>
          <w:szCs w:val="24"/>
          <w:highlight w:val="none"/>
        </w:rPr>
        <w:t xml:space="preserve">31.4履约保证金</w:t>
      </w:r>
      <w:bookmarkEnd w:id="42"/>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按照以下第</w:t>
      </w:r>
      <w:r>
        <w:rPr>
          <w:rFonts w:hint="eastAsia" w:ascii="宋体" w:hAnsi="宋体" w:eastAsia="宋体" w:cs="宋体"/>
          <w:color w:val="auto"/>
          <w:sz w:val="24"/>
          <w:szCs w:val="24"/>
          <w:highlight w:val="none"/>
          <w:u w:val="single"/>
          <w:lang w:val="zh-CN"/>
        </w:rPr>
        <w:t xml:space="preserve">（2）</w:t>
      </w:r>
      <w:r>
        <w:rPr>
          <w:rFonts w:hint="eastAsia" w:ascii="宋体" w:hAnsi="宋体" w:eastAsia="宋体" w:cs="宋体"/>
          <w:color w:val="auto"/>
          <w:sz w:val="24"/>
          <w:szCs w:val="24"/>
          <w:highlight w:val="none"/>
          <w:lang w:val="zh-CN"/>
        </w:rPr>
        <w:t xml:space="preserve">方式确定履约保证金收取方式。</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（1）本项目不收取履约保证金。</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（2）本项目收取履约保证金。</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lang w:val="zh-CN"/>
        </w:rPr>
        <w:t xml:space="preserve">.1履约保证金提交形式</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履约保证金应在中标公告发布之日起</w:t>
      </w:r>
      <w:r>
        <w:rPr>
          <w:rFonts w:hint="eastAsia" w:ascii="宋体" w:hAnsi="宋体" w:eastAsia="宋体" w:cs="宋体"/>
          <w:color w:val="auto"/>
          <w:sz w:val="24"/>
          <w:szCs w:val="24"/>
          <w:highlight w:val="none"/>
          <w:u w:val="single"/>
          <w:lang w:val="zh-CN"/>
        </w:rPr>
        <w:t xml:space="preserve">7</w:t>
      </w:r>
      <w:r>
        <w:rPr>
          <w:rFonts w:hint="eastAsia" w:ascii="宋体" w:hAnsi="宋体" w:eastAsia="宋体" w:cs="宋体"/>
          <w:color w:val="auto"/>
          <w:sz w:val="24"/>
          <w:szCs w:val="24"/>
          <w:highlight w:val="none"/>
          <w:lang w:val="zh-CN"/>
        </w:rPr>
        <w:t xml:space="preserve">日历天内提交。除银行电汇、网上银行、数字人民币外，投标人还可选用银行保函、担保公司的保证担保或保险公司的保证保险等多种形式向采购人缴纳。</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lang w:val="zh-CN"/>
        </w:rPr>
        <w:t xml:space="preserve">.2履约保证金提交金额</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按采购合同总价的</w:t>
      </w:r>
      <w:r>
        <w:rPr>
          <w:rFonts w:hint="eastAsia" w:ascii="宋体" w:hAnsi="宋体" w:eastAsia="宋体" w:cs="宋体"/>
          <w:color w:val="auto"/>
          <w:sz w:val="24"/>
          <w:szCs w:val="24"/>
          <w:highlight w:val="none"/>
          <w:u w:val="single"/>
          <w:lang w:val="zh-CN"/>
        </w:rPr>
        <w:t xml:space="preserve">2%</w:t>
      </w:r>
      <w:r>
        <w:rPr>
          <w:rFonts w:hint="eastAsia" w:ascii="宋体" w:hAnsi="宋体" w:eastAsia="宋体" w:cs="宋体"/>
          <w:color w:val="auto"/>
          <w:sz w:val="24"/>
          <w:szCs w:val="24"/>
          <w:highlight w:val="none"/>
          <w:lang w:val="zh-CN"/>
        </w:rPr>
        <w:t xml:space="preserve">提交。</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color w:val="auto"/>
          <w:sz w:val="24"/>
          <w:szCs w:val="24"/>
          <w:highlight w:val="none"/>
          <w:u w:val="single"/>
          <w:lang w:val="zh-CN"/>
        </w:rPr>
        <w:t xml:space="preserve"> 1.2 %</w:t>
      </w:r>
      <w:r>
        <w:rPr>
          <w:rFonts w:hint="eastAsia" w:ascii="宋体" w:hAnsi="宋体" w:eastAsia="宋体" w:cs="宋体"/>
          <w:color w:val="auto"/>
          <w:sz w:val="24"/>
          <w:szCs w:val="24"/>
          <w:highlight w:val="none"/>
          <w:lang w:val="zh-CN"/>
        </w:rPr>
        <w:t xml:space="preserve">（履约保证金原提交金额的6折）提交。办理流程、偿付等内容见江苏政府采购网“保险保函”模块。</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lang w:val="zh-CN"/>
        </w:rPr>
        <w:t xml:space="preserve">.3履约保证金退还方式</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履约保证金退还条件</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具有验收合格相关证明材料。</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31.4.5</w:t>
      </w:r>
      <w:r>
        <w:rPr>
          <w:rFonts w:hint="eastAsia" w:ascii="宋体" w:hAnsi="宋体" w:eastAsia="宋体" w:cs="宋体"/>
          <w:color w:val="auto"/>
          <w:sz w:val="24"/>
          <w:szCs w:val="24"/>
          <w:highlight w:val="none"/>
          <w:lang w:val="zh-CN"/>
        </w:rPr>
        <w:t xml:space="preserve">履约保证金退还时间</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采购人收到投标人退付申请后5个工作日内退还。</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31.4.6</w:t>
      </w:r>
      <w:r>
        <w:rPr>
          <w:rFonts w:hint="eastAsia" w:ascii="宋体" w:hAnsi="宋体" w:eastAsia="宋体" w:cs="宋体"/>
          <w:color w:val="auto"/>
          <w:sz w:val="24"/>
          <w:szCs w:val="24"/>
          <w:highlight w:val="none"/>
          <w:lang w:val="zh-CN"/>
        </w:rPr>
        <w:t xml:space="preserve">履约保证金不予退还情形</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除不可抗力外，中标人不履行与采购人订立的采购合同的，履约保证金不予退还，给采购人造成的损失超过履约保证金数额的，还应对超过部分予以赔偿。</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31.4.7</w:t>
      </w:r>
      <w:r>
        <w:rPr>
          <w:rFonts w:hint="eastAsia" w:ascii="宋体" w:hAnsi="宋体" w:eastAsia="宋体" w:cs="宋体"/>
          <w:color w:val="auto"/>
          <w:sz w:val="24"/>
          <w:szCs w:val="24"/>
          <w:highlight w:val="none"/>
          <w:lang w:val="zh-CN"/>
        </w:rPr>
        <w:t xml:space="preserve">逾期退还履约保证金违约责任</w:t>
      </w:r>
      <w:r/>
    </w:p>
    <w:p>
      <w:pPr>
        <w:ind w:firstLine="480"/>
        <w:pageBreakBefore w:val="0"/>
        <w:spacing w:line="480" w:lineRule="exact"/>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31.4.8</w:t>
      </w:r>
      <w:r>
        <w:rPr>
          <w:rFonts w:hint="eastAsia" w:ascii="宋体" w:hAnsi="宋体" w:eastAsia="宋体" w:cs="宋体"/>
          <w:color w:val="auto"/>
          <w:sz w:val="24"/>
          <w:szCs w:val="24"/>
          <w:highlight w:val="none"/>
          <w:lang w:val="zh-CN"/>
        </w:rPr>
        <w:t xml:space="preserve">如中标人未在规定时间内缴纳履约保证金，视为虚假承诺，采购人有权报请财政部门进行处理。</w:t>
      </w:r>
      <w:r>
        <w:rPr>
          <w:rFonts w:hint="eastAsia" w:ascii="宋体" w:hAnsi="宋体" w:eastAsia="宋体" w:cs="宋体"/>
          <w:color w:val="auto"/>
          <w:sz w:val="24"/>
          <w:szCs w:val="24"/>
          <w:highlight w:val="none"/>
        </w:rPr>
        <w:t xml:space="preserve">                    </w:t>
      </w:r>
      <w:r/>
    </w:p>
    <w:p>
      <w:pPr>
        <w:ind w:firstLine="482"/>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32、货物（包含与货物相关的服务）的追加</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、线上融资</w:t>
      </w:r>
      <w:r/>
    </w:p>
    <w:p>
      <w:pPr>
        <w:pStyle w:val="810"/>
        <w:ind w:firstLine="480"/>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中标人可凭政府采购合同办理融资贷款，详情见江苏政府采购网“政采贷”专栏。</w:t>
      </w:r>
      <w:r/>
    </w:p>
    <w:p>
      <w:pPr>
        <w:pStyle w:val="810"/>
        <w:ind w:firstLine="482"/>
        <w:pageBreakBefore w:val="0"/>
        <w:spacing w:before="0" w:after="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34、验收</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35、付款</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按照以下确定的付款方式，采购人及时办理付款手续。对于满足合同约定支付条件的，自收到发票后10个工作日内将资金支付到合同约定的供应商账户或供应商数字人民币账户。</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bookmarkStart w:id="43" w:name="OLE_LINK63"/>
      <w:r>
        <w:rPr>
          <w:rFonts w:hint="eastAsia" w:ascii="宋体" w:hAnsi="宋体" w:eastAsia="宋体" w:cs="宋体"/>
          <w:color w:val="auto"/>
          <w:sz w:val="24"/>
          <w:szCs w:val="24"/>
          <w:highlight w:val="none"/>
        </w:rPr>
        <w:t xml:space="preserve">预付款：签订</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后付合同价款的30%；</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进度款：</w:t>
      </w:r>
      <w:r/>
    </w:p>
    <w:p>
      <w:pPr>
        <w:ind w:firstLine="480"/>
        <w:pageBreakBefore w:val="0"/>
        <w:spacing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移动警务终端主机交付并试运行满30日，初验合格后付至合同金额的90%；终端配套业务服务期（12个月）满后，项目终验合格，付至结算价的100%。</w:t>
      </w:r>
      <w:r/>
    </w:p>
    <w:p>
      <w:pPr>
        <w:ind w:firstLine="480"/>
        <w:pageBreakBefore w:val="0"/>
        <w:spacing w:line="480" w:lineRule="exact"/>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备注:</w:t>
      </w:r>
      <w:bookmarkEnd w:id="43"/>
      <w:r/>
      <w:r/>
    </w:p>
    <w:p>
      <w:pPr>
        <w:ind w:firstLine="480"/>
        <w:pageBreakBefore w:val="0"/>
        <w:spacing w:line="480" w:lineRule="exact"/>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（1）可以采用数字人民币支付；</w:t>
      </w:r>
      <w:r/>
    </w:p>
    <w:p>
      <w:pPr>
        <w:ind w:firstLine="480"/>
        <w:pageBreakBefore w:val="0"/>
        <w:spacing w:line="480" w:lineRule="exact"/>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（2）资金支付的时间：收到供应商发票10个工作日内；</w:t>
      </w:r>
      <w:r/>
    </w:p>
    <w:p>
      <w:pPr>
        <w:ind w:firstLine="480"/>
        <w:pageBreakBefore w:val="0"/>
        <w:spacing w:line="480" w:lineRule="exact"/>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（3）资金支付的条件：满足相应阶段的要求且收到供应商发票；</w:t>
      </w:r>
      <w:r/>
    </w:p>
    <w:p>
      <w:pPr>
        <w:ind w:firstLine="480"/>
        <w:pageBreakBefore w:val="0"/>
        <w:spacing w:line="480" w:lineRule="exact"/>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（4）在签订合同时，供应商明确表示无需预付款或者主动要求降低预付款比例的，采购人可不适用前述规定。</w:t>
      </w:r>
      <w:r>
        <w:rPr>
          <w:rFonts w:hint="eastAsia" w:ascii="宋体" w:hAnsi="宋体" w:eastAsia="宋体" w:cs="宋体"/>
          <w:color w:val="auto"/>
          <w:sz w:val="24"/>
          <w:szCs w:val="24"/>
          <w:highlight w:val="none"/>
          <w:u w:val="none"/>
        </w:rPr>
      </w:r>
      <w:r/>
    </w:p>
    <w:p>
      <w:pPr>
        <w:ind w:firstLine="480"/>
        <w:jc w:val="center"/>
        <w:pageBreakBefore w:val="0"/>
        <w:spacing w:line="480" w:lineRule="exact"/>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r>
      <w:r>
        <w:rPr>
          <w:rFonts w:hint="eastAsia" w:ascii="宋体" w:hAnsi="宋体" w:eastAsia="宋体" w:cs="宋体"/>
          <w:b/>
          <w:color w:val="auto"/>
          <w:sz w:val="44"/>
          <w:szCs w:val="44"/>
          <w:highlight w:val="none"/>
        </w:rPr>
        <w:t xml:space="preserve">第三章  合同文本</w:t>
      </w:r>
      <w:r>
        <w:rPr>
          <w:rFonts w:hint="eastAsia" w:ascii="宋体" w:hAnsi="宋体" w:eastAsia="宋体" w:cs="宋体"/>
          <w:color w:val="auto"/>
          <w:sz w:val="24"/>
          <w:szCs w:val="24"/>
          <w:highlight w:val="none"/>
          <w:u w:val="none"/>
        </w:rPr>
      </w:r>
      <w:r/>
    </w:p>
    <w:p>
      <w:pPr>
        <w:pStyle w:val="821"/>
        <w:jc w:val="center"/>
        <w:spacing w:line="240" w:lineRule="atLeast"/>
        <w:rPr>
          <w:rFonts w:hint="eastAsia" w:ascii="宋体" w:hAnsi="宋体" w:eastAsia="宋体" w:cs="宋体"/>
          <w:b/>
          <w:bCs/>
          <w:color w:val="auto"/>
          <w:spacing w:val="-20"/>
          <w:sz w:val="48"/>
          <w:szCs w:val="48"/>
          <w:highlight w:val="none"/>
        </w:rPr>
      </w:pPr>
      <w:r/>
      <w:bookmarkStart w:id="48" w:name="OLE_LINK7"/>
      <w:r/>
      <w:r/>
    </w:p>
    <w:p>
      <w:pPr>
        <w:pStyle w:val="821"/>
        <w:jc w:val="center"/>
        <w:spacing w:line="240" w:lineRule="atLeast"/>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4"/>
          <w:szCs w:val="44"/>
          <w:highlight w:val="none"/>
        </w:rPr>
        <w:t xml:space="preserve">政府采购货物买卖合同</w:t>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t xml:space="preserve">    </w:t>
      </w:r>
      <w:bookmarkEnd w:id="48"/>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u w:val="single"/>
        </w:rPr>
        <w:t xml:space="preserve">                             </w:t>
      </w:r>
      <w:r/>
    </w:p>
    <w:p>
      <w:pPr>
        <w:ind w:left="420"/>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合同编号：</w:t>
      </w:r>
      <w:r>
        <w:rPr>
          <w:rFonts w:hint="eastAsia" w:ascii="宋体" w:hAnsi="宋体" w:cs="宋体"/>
          <w:color w:val="auto"/>
          <w:sz w:val="32"/>
          <w:szCs w:val="32"/>
          <w:highlight w:val="none"/>
          <w:u w:val="single"/>
        </w:rPr>
        <w:t xml:space="preserve">                             </w:t>
      </w:r>
      <w:r/>
    </w:p>
    <w:p>
      <w:pPr>
        <w:ind w:left="4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ascii="宋体" w:hAnsi="宋体" w:cs="宋体"/>
          <w:color w:val="auto"/>
          <w:sz w:val="32"/>
          <w:szCs w:val="32"/>
          <w:highlight w:val="none"/>
          <w:u w:val="single"/>
        </w:rPr>
        <w:t xml:space="preserve">                             </w:t>
      </w:r>
      <w:r/>
    </w:p>
    <w:p>
      <w:pPr>
        <w:ind w:left="420"/>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乙    方：</w:t>
      </w:r>
      <w:r>
        <w:rPr>
          <w:rFonts w:hint="eastAsia" w:ascii="宋体" w:hAnsi="宋体" w:cs="宋体"/>
          <w:color w:val="auto"/>
          <w:sz w:val="32"/>
          <w:szCs w:val="32"/>
          <w:highlight w:val="none"/>
          <w:u w:val="single"/>
        </w:rPr>
        <w:t xml:space="preserve">                             </w:t>
      </w:r>
      <w:r/>
    </w:p>
    <w:p>
      <w:pPr>
        <w:ind w:left="4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ascii="宋体" w:hAnsi="宋体" w:cs="宋体"/>
          <w:color w:val="auto"/>
          <w:sz w:val="32"/>
          <w:szCs w:val="32"/>
          <w:highlight w:val="none"/>
          <w:u w:val="single"/>
        </w:rPr>
        <w:t xml:space="preserve">                             </w:t>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44"/>
          <w:szCs w:val="44"/>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44"/>
          <w:szCs w:val="44"/>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使 用 说 明</w:t>
      </w:r>
      <w:r/>
    </w:p>
    <w:p>
      <w:pPr>
        <w:ind w:firstLine="6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1.本合同标准文本适用于购买现成货物的采购项目，不包括需要供应商定制开发、创新研发的货物采购项目。</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2.本合同标准文本为政府采购货物买卖合同编制提供参考，可以结合采购项目具体情况，对文本作必要的调整修订后使用。</w:t>
      </w:r>
      <w:r/>
    </w:p>
    <w:p>
      <w:pPr>
        <w:ind w:firstLine="640"/>
        <w:spacing w:line="360" w:lineRule="auto"/>
        <w:rPr>
          <w:rFonts w:hint="eastAsia" w:ascii="宋体" w:hAnsi="宋体" w:cs="宋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pStyle w:val="808"/>
        <w:jc w:val="center"/>
        <w:keepLines/>
        <w:keepNext/>
        <w:pageBreakBefore w:val="0"/>
        <w:spacing w:before="181" w:after="181" w:line="400" w:lineRule="exact"/>
        <w:widowControl w:val="off"/>
        <w:rPr>
          <w:rFonts w:hint="eastAsia" w:ascii="宋体" w:hAnsi="宋体" w:eastAsia="宋体" w:cs="宋体"/>
          <w:b/>
          <w:bCs/>
          <w:color w:val="auto"/>
          <w:sz w:val="32"/>
          <w:szCs w:val="32"/>
          <w:highlight w:val="none"/>
        </w:rPr>
      </w:pPr>
      <w:r/>
      <w:bookmarkStart w:id="49" w:name="_Toc22209"/>
      <w:r>
        <w:rPr>
          <w:rFonts w:hint="eastAsia" w:ascii="宋体" w:hAnsi="宋体" w:eastAsia="宋体" w:cs="宋体"/>
          <w:b/>
          <w:bCs/>
          <w:color w:val="auto"/>
          <w:sz w:val="32"/>
          <w:szCs w:val="32"/>
          <w:highlight w:val="none"/>
        </w:rPr>
        <w:t xml:space="preserve">第一节 政府采购合同协议书</w:t>
      </w:r>
      <w:bookmarkEnd w:id="49"/>
      <w:r/>
      <w:r/>
    </w:p>
    <w:p>
      <w:pPr>
        <w:spacing w:line="48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甲方（全称）：</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（采购人）</w:t>
      </w:r>
      <w:r/>
    </w:p>
    <w:p>
      <w:pPr>
        <w:ind w:firstLine="0"/>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（供应商）</w:t>
      </w:r>
      <w:r/>
    </w:p>
    <w:p>
      <w:pPr>
        <w:pStyle w:val="822"/>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依据《中华人民共和国民法典》、《中华人民共和国政府采购法》等有关的法律法规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以及本采购项目的招标文件等采购文件、乙方的《投标（响应）文件》及《中标（成交）通知书》，甲乙双方同意签订本合同。具体情况及要求如下：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项目信息</w:t>
      </w:r>
      <w:r/>
    </w:p>
    <w:p>
      <w:pPr>
        <w:pStyle w:val="822"/>
        <w:numPr>
          <w:ilvl w:val="0"/>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822"/>
        <w:ind w:left="0" w:firstLine="0"/>
        <w:keepLines w:val="0"/>
        <w:keepNext w:val="0"/>
        <w:pageBreakBefore w:val="0"/>
        <w:spacing w:line="440" w:lineRule="exact"/>
        <w:tabs>
          <w:tab w:val="left" w:pos="99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82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采购标的及数量（台/套</w:t>
      </w:r>
      <w:r>
        <w:rPr>
          <w:rFonts w:hint="eastAsia" w:ascii="宋体" w:hAnsi="宋体" w:eastAsia="宋体" w:cs="宋体"/>
          <w:color w:val="auto"/>
          <w:sz w:val="21"/>
          <w:szCs w:val="21"/>
          <w:highlight w:val="none"/>
          <w:lang w:val="en"/>
        </w:rPr>
        <w:t xml:space="preserve">/个/架/组等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
        </w:rPr>
        <w:t xml:space="preserve">     </w:t>
      </w:r>
      <w:r>
        <w:rPr>
          <w:rFonts w:hint="eastAsia" w:ascii="宋体" w:hAnsi="宋体" w:eastAsia="宋体" w:cs="宋体"/>
          <w:color w:val="auto"/>
          <w:sz w:val="21"/>
          <w:szCs w:val="21"/>
          <w:highlight w:val="none"/>
        </w:rPr>
        <w:t xml:space="preserve">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p>
    <w:p>
      <w:pPr>
        <w:ind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采购标的的技术要求、商务要求具体见附件。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①涉及信息类产品，请填写该产品关键部件的品牌、型号：</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标的名称：</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②涉及车辆采购，请填写是否属于新能源汽车：</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4</w:t>
      </w:r>
      <w:r>
        <w:rPr>
          <w:rFonts w:hint="eastAsia" w:ascii="宋体" w:hAnsi="宋体" w:eastAsia="宋体" w:cs="宋体"/>
          <w:color w:val="auto"/>
          <w:sz w:val="21"/>
          <w:szCs w:val="21"/>
          <w:highlight w:val="none"/>
        </w:rPr>
        <w:t xml:space="preserve">）政府采购组织形式：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政府集中采购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部门集中采购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分散采购</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5</w:t>
      </w:r>
      <w:r>
        <w:rPr>
          <w:rFonts w:hint="eastAsia" w:ascii="宋体" w:hAnsi="宋体" w:eastAsia="宋体" w:cs="宋体"/>
          <w:color w:val="auto"/>
          <w:sz w:val="21"/>
          <w:szCs w:val="21"/>
          <w:highlight w:val="none"/>
        </w:rPr>
        <w:t xml:space="preserve">）政府采购方式：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公开招标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邀请招标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竞争性谈判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竞争性磋商</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询价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单一来源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框架协议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u w:val="single"/>
        </w:rPr>
        <w:t xml:space="preserve">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（注：在框架协议采购的第二阶段，可选择使用该合同文本）</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6</w:t>
      </w:r>
      <w:r>
        <w:rPr>
          <w:rFonts w:hint="eastAsia" w:ascii="宋体" w:hAnsi="宋体" w:eastAsia="宋体" w:cs="宋体"/>
          <w:color w:val="auto"/>
          <w:sz w:val="21"/>
          <w:szCs w:val="21"/>
          <w:highlight w:val="none"/>
        </w:rPr>
        <w:t xml:space="preserve">）中标（成交）采购标的制造商是否为中小企业：</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本合同是否为专门面向中小企业的采购合同（中小企业预留合同）：</w:t>
      </w: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若本项目不专门面向中小企业采购，是否给予小微企业评审优惠：</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中标（成交）采购标的制造商是否为残疾人福利性单位：</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中标（成交）采购标的制造商是否为监狱企业：</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7</w:t>
      </w:r>
      <w:r>
        <w:rPr>
          <w:rFonts w:hint="eastAsia" w:ascii="宋体" w:hAnsi="宋体" w:eastAsia="宋体" w:cs="宋体"/>
          <w:color w:val="auto"/>
          <w:sz w:val="21"/>
          <w:szCs w:val="21"/>
          <w:highlight w:val="none"/>
        </w:rPr>
        <w:t xml:space="preserve">）合同是否分包：</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分包主要内容：</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分包供应商/制造商名称（如供应商和制造商不同，请分别填写）：</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分包供应商/制造商类型（如果供应商和制造商不同，只填写制造商类型）：</w:t>
      </w:r>
      <w:r/>
    </w:p>
    <w:p>
      <w:p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大型企业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中型企业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小微型企业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残疾人福利性单位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监狱企业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其他</w:t>
      </w:r>
      <w:r/>
    </w:p>
    <w:p>
      <w:p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8</w:t>
      </w:r>
      <w:r>
        <w:rPr>
          <w:rFonts w:hint="eastAsia" w:ascii="宋体" w:hAnsi="宋体" w:eastAsia="宋体" w:cs="宋体"/>
          <w:color w:val="auto"/>
          <w:sz w:val="21"/>
          <w:szCs w:val="21"/>
          <w:highlight w:val="none"/>
        </w:rPr>
        <w:t xml:space="preserve">）中标（成交）供应商是否为外商投资企业：</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否</w:t>
      </w:r>
      <w:r/>
    </w:p>
    <w:p>
      <w:pPr>
        <w:pStyle w:val="915"/>
        <w:ind w:left="0" w:firstLine="0"/>
        <w:keepLines w:val="0"/>
        <w:keepNext w:val="0"/>
        <w:pageBreakBefore w:val="0"/>
        <w:spacing w:line="440" w:lineRule="exact"/>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外商投资企业类型：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全部由外国投资者投资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部分由外国投资者投资</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9</w:t>
      </w:r>
      <w:r>
        <w:rPr>
          <w:rFonts w:hint="eastAsia" w:ascii="宋体" w:hAnsi="宋体" w:eastAsia="宋体" w:cs="宋体"/>
          <w:color w:val="auto"/>
          <w:sz w:val="21"/>
          <w:szCs w:val="21"/>
          <w:highlight w:val="none"/>
        </w:rPr>
        <w:t xml:space="preserve">）是否涉及进口产品：</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国别：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
        </w:rPr>
        <w:t xml:space="preserve">0</w:t>
      </w:r>
      <w:r>
        <w:rPr>
          <w:rFonts w:hint="eastAsia" w:ascii="宋体" w:hAnsi="宋体" w:eastAsia="宋体" w:cs="宋体"/>
          <w:color w:val="auto"/>
          <w:sz w:val="21"/>
          <w:szCs w:val="21"/>
          <w:highlight w:val="none"/>
        </w:rPr>
        <w:t xml:space="preserve">）是否涉及节能产品：</w:t>
      </w:r>
      <w:r/>
    </w:p>
    <w:p>
      <w:p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是，《节能产品政府采购品目清单》的底级品目名称：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强制采购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优先采购    </w:t>
      </w:r>
      <w:r/>
    </w:p>
    <w:p>
      <w:p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是否涉及环境标志产品：</w:t>
      </w:r>
      <w:r/>
    </w:p>
    <w:p>
      <w:p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是，《环境标志产品政府采购品目清单》的底级品目名称：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强制采购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优先采购    </w:t>
      </w:r>
      <w:r/>
    </w:p>
    <w:p>
      <w:p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是否涉及绿色产品：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是，绿色产品政府采购相关政策确定的底级品目名称：</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þ</w:t>
      </w:r>
      <w:r>
        <w:rPr>
          <w:rFonts w:hint="eastAsia" w:ascii="宋体" w:hAnsi="宋体" w:eastAsia="宋体" w:cs="宋体"/>
          <w:iCs/>
          <w:color w:val="auto"/>
          <w:sz w:val="21"/>
          <w:szCs w:val="21"/>
          <w:highlight w:val="none"/>
        </w:rPr>
        <w:t xml:space="preserve">优先采购    </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
        </w:rPr>
        <w:t xml:space="preserve">1</w:t>
      </w:r>
      <w:r>
        <w:rPr>
          <w:rFonts w:hint="eastAsia" w:ascii="宋体" w:hAnsi="宋体" w:eastAsia="宋体" w:cs="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不涉及</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（1）合同金额小写：</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大写：</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分包金额（如有）小写：</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大写：</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（注：固定单价合同应填写单价和最高限价）</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（2）合同定价方式（采用组合定价方式的，可以勾选多项）：</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þ</w:t>
      </w:r>
      <w:r>
        <w:rPr>
          <w:rFonts w:hint="eastAsia" w:ascii="宋体" w:hAnsi="宋体" w:eastAsia="宋体" w:cs="宋体"/>
          <w:iCs/>
          <w:color w:val="auto"/>
          <w:sz w:val="21"/>
          <w:szCs w:val="21"/>
          <w:highlight w:val="none"/>
        </w:rPr>
        <w:t xml:space="preserve">固定单价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固定费率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成本补偿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绩效激励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其他</w:t>
      </w:r>
      <w:r>
        <w:rPr>
          <w:rFonts w:hint="eastAsia" w:ascii="宋体" w:hAnsi="宋体" w:eastAsia="宋体" w:cs="宋体"/>
          <w:color w:val="auto"/>
          <w:sz w:val="21"/>
          <w:szCs w:val="21"/>
          <w:highlight w:val="none"/>
          <w:u w:val="single"/>
        </w:rPr>
        <w:t xml:space="preserve">       </w:t>
      </w:r>
      <w:r/>
    </w:p>
    <w:p>
      <w:pPr>
        <w:pStyle w:val="1116"/>
        <w:ind w:left="0" w:firstLine="0"/>
        <w:keepLines w:val="0"/>
        <w:keepNext w:val="0"/>
        <w:pageBreakBefore w:val="0"/>
        <w:spacing w:line="440" w:lineRule="exact"/>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eastAsia="zh-CN" w:bidi="ar-SA"/>
        </w:rPr>
        <w:t xml:space="preserve">（3）付款方式（按项目实际勾选填写）：</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全额付款：</w:t>
      </w:r>
      <w:r>
        <w:rPr>
          <w:rFonts w:hint="eastAsia" w:ascii="宋体" w:hAnsi="宋体" w:eastAsia="宋体" w:cs="宋体"/>
          <w:color w:val="auto"/>
          <w:sz w:val="21"/>
          <w:szCs w:val="21"/>
          <w:highlight w:val="none"/>
          <w:u w:val="single"/>
        </w:rPr>
        <w:t xml:space="preserve"> （应明确一次性支付合同款项的条件）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分期付款：</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预付款：</w:t>
      </w:r>
      <w:r>
        <w:rPr>
          <w:rFonts w:hint="eastAsia" w:ascii="宋体" w:hAnsi="宋体" w:eastAsia="宋体" w:cs="宋体"/>
          <w:color w:val="auto"/>
          <w:sz w:val="21"/>
          <w:szCs w:val="21"/>
          <w:highlight w:val="none"/>
          <w:u w:val="single"/>
          <w:lang w:val="en-US" w:eastAsia="zh-CN"/>
        </w:rPr>
        <w:t xml:space="preserve">签订</w:t>
      </w:r>
      <w:r>
        <w:rPr>
          <w:rFonts w:hint="eastAsia" w:ascii="宋体" w:hAnsi="宋体" w:cs="宋体"/>
          <w:color w:val="auto"/>
          <w:sz w:val="21"/>
          <w:szCs w:val="21"/>
          <w:highlight w:val="none"/>
          <w:u w:val="single"/>
          <w:lang w:val="en-US" w:eastAsia="zh-CN"/>
        </w:rPr>
        <w:t xml:space="preserve">合同</w:t>
      </w:r>
      <w:r>
        <w:rPr>
          <w:rFonts w:hint="eastAsia" w:ascii="宋体" w:hAnsi="宋体" w:eastAsia="宋体" w:cs="宋体"/>
          <w:color w:val="auto"/>
          <w:sz w:val="21"/>
          <w:szCs w:val="21"/>
          <w:highlight w:val="none"/>
          <w:u w:val="single"/>
          <w:lang w:val="en-US" w:eastAsia="zh-CN"/>
        </w:rPr>
        <w:t xml:space="preserve">后付合同价款的30%；</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进度款：</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移动警务终端主机交付并试运行满30日，初验合格后付至合同金额的90%；终端配套业务服务期（12个月）满后，项目终验合格，付至结算价的100%。</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（1）可以采用数字人民币支付；</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（2）资金支付的时间：收到供应商发票10个工作日内；</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（3）资金支付的条件：满足相应阶段的要求且收到供应商发票；</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（4）在签订合同时，供应商明确表示无需预付款或者主动要求降低预付款比例的，采购人可不适用前述规定。</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成本补偿：</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绩效激励：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合同履行</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合同履行期限：</w:t>
      </w:r>
      <w:r>
        <w:rPr>
          <w:rFonts w:hint="eastAsia" w:ascii="宋体" w:hAnsi="宋体" w:cs="宋体"/>
          <w:color w:val="auto"/>
          <w:sz w:val="21"/>
          <w:szCs w:val="21"/>
          <w:highlight w:val="none"/>
          <w:u w:val="single"/>
          <w:lang w:val="en-US" w:eastAsia="zh-CN"/>
        </w:rPr>
        <w:t xml:space="preserve">移动警务终端在合同签订后10日内交付；终端配套业务使用12个月。</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（2）履约地点</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u w:val="single"/>
        </w:rPr>
        <w:t xml:space="preserve"> 采购人指定地点 </w:t>
      </w:r>
      <w:r>
        <w:rPr>
          <w:rFonts w:hint="eastAsia" w:ascii="宋体" w:hAnsi="宋体" w:eastAsia="宋体" w:cs="宋体"/>
          <w:color w:val="auto"/>
          <w:sz w:val="21"/>
          <w:szCs w:val="21"/>
          <w:highlight w:val="none"/>
        </w:rPr>
        <w:t xml:space="preserve">。</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（3）履约担保：</w:t>
      </w:r>
      <w:r>
        <w:rPr>
          <w:rFonts w:hint="eastAsia" w:ascii="宋体" w:hAnsi="宋体" w:eastAsia="宋体" w:cs="宋体"/>
          <w:color w:val="auto"/>
          <w:sz w:val="21"/>
          <w:szCs w:val="21"/>
          <w:highlight w:val="none"/>
        </w:rPr>
        <w:t xml:space="preserve">是否收取履约保证金：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收取履约保证金形式：</w:t>
      </w:r>
      <w:r>
        <w:rPr>
          <w:rFonts w:hint="eastAsia" w:ascii="宋体" w:hAnsi="宋体" w:eastAsia="宋体" w:cs="宋体"/>
          <w:bCs/>
          <w:color w:val="auto"/>
          <w:sz w:val="21"/>
          <w:szCs w:val="21"/>
          <w:highlight w:val="none"/>
          <w:u w:val="single"/>
        </w:rPr>
        <w:t xml:space="preserve">除银行电汇、网上银行、数字人民币外，投标人还可选用银行保函、担保公司的保证担保或保险公司的保证保险、等多种形式向甲方缴纳。</w:t>
      </w:r>
      <w:r/>
    </w:p>
    <w:p>
      <w:pPr>
        <w:pStyle w:val="915"/>
        <w:ind w:left="0" w:firstLine="0"/>
        <w:keepLines w:val="0"/>
        <w:keepNext w:val="0"/>
        <w:pageBreakBefore w:val="0"/>
        <w:spacing w:line="440" w:lineRule="exact"/>
        <w:rPr>
          <w:rFonts w:hint="eastAsia" w:ascii="宋体" w:hAnsi="宋体" w:eastAsia="宋体" w:cs="宋体"/>
          <w:bCs/>
          <w:color w:val="auto"/>
          <w:sz w:val="21"/>
          <w:szCs w:val="21"/>
          <w:highlight w:val="none"/>
          <w:u w:val="single"/>
          <w:lang w:val="zh-CN"/>
        </w:rPr>
      </w:pPr>
      <w:r>
        <w:rPr>
          <w:rFonts w:hint="eastAsia" w:ascii="宋体" w:hAnsi="宋体" w:eastAsia="宋体" w:cs="宋体"/>
          <w:color w:val="auto"/>
          <w:sz w:val="21"/>
          <w:szCs w:val="21"/>
          <w:highlight w:val="none"/>
        </w:rPr>
        <w:t xml:space="preserve">收取履约保证金金额：</w:t>
      </w:r>
      <w:r>
        <w:rPr>
          <w:rFonts w:hint="eastAsia" w:ascii="宋体" w:hAnsi="宋体" w:eastAsia="宋体" w:cs="宋体"/>
          <w:bCs/>
          <w:color w:val="auto"/>
          <w:sz w:val="21"/>
          <w:szCs w:val="21"/>
          <w:highlight w:val="none"/>
          <w:u w:val="single"/>
          <w:lang w:val="zh-CN"/>
        </w:rPr>
        <w:t xml:space="preserve">按采购合同总价的 2%（使用江苏政府采购电子履约保函(保险)代替缴纳履约保证金，按采购合同总价的1.2%)计取。</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履约担保期限：</w:t>
      </w:r>
      <w:r>
        <w:rPr>
          <w:rFonts w:hint="eastAsia" w:ascii="宋体" w:hAnsi="宋体" w:eastAsia="宋体" w:cs="宋体"/>
          <w:bCs/>
          <w:color w:val="auto"/>
          <w:sz w:val="21"/>
          <w:szCs w:val="21"/>
          <w:highlight w:val="none"/>
          <w:u w:val="single"/>
        </w:rPr>
        <w:t xml:space="preserve">履约验收合格为止。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（4）分期履行要求：</w:t>
      </w:r>
      <w:r>
        <w:rPr>
          <w:rFonts w:hint="eastAsia" w:ascii="宋体" w:hAnsi="宋体" w:eastAsia="宋体" w:cs="宋体"/>
          <w:bCs/>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（5）风险处置措施和替代方案：</w:t>
      </w:r>
      <w:r>
        <w:rPr>
          <w:rFonts w:hint="eastAsia" w:ascii="宋体" w:hAnsi="宋体" w:eastAsia="宋体" w:cs="宋体"/>
          <w:color w:val="auto"/>
          <w:sz w:val="21"/>
          <w:szCs w:val="21"/>
          <w:highlight w:val="none"/>
          <w:u w:val="single"/>
        </w:rPr>
        <w:t xml:space="preserve">  /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合同验收</w:t>
      </w:r>
      <w:r/>
    </w:p>
    <w:p>
      <w:pPr>
        <w:numPr>
          <w:ilvl w:val="0"/>
          <w:numId w:val="0"/>
        </w:num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验收组织方式：</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自行组织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委托第三方组织</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        验收主体：</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泗洪县公安局</w:t>
      </w:r>
      <w:r>
        <w:rPr>
          <w:rFonts w:hint="eastAsia" w:ascii="宋体" w:hAnsi="宋体" w:eastAsia="宋体" w:cs="宋体"/>
          <w:bCs/>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是否邀请本项目的其他供应商参加验收：</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是否邀请专家参加验收：</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是否邀请服务对象参加验收：</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是否邀请第三方检测机构参加验收：</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是否进行抽查检测：</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是否存在破坏性检测：</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w:t>
      </w:r>
      <w:r>
        <w:rPr>
          <w:rFonts w:hint="eastAsia" w:ascii="宋体" w:hAnsi="宋体" w:eastAsia="宋体" w:cs="宋体"/>
          <w:bCs/>
          <w:color w:val="auto"/>
          <w:sz w:val="21"/>
          <w:szCs w:val="21"/>
          <w:highlight w:val="none"/>
          <w:u w:val="single"/>
        </w:rPr>
        <w:t xml:space="preserve">（应明确对被破坏的检测产品的处理方式）</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验收组织的其他事项：</w:t>
      </w:r>
      <w:r>
        <w:rPr>
          <w:rFonts w:hint="eastAsia" w:ascii="宋体" w:hAnsi="宋体" w:eastAsia="宋体" w:cs="宋体"/>
          <w:bCs/>
          <w:color w:val="auto"/>
          <w:sz w:val="21"/>
          <w:szCs w:val="21"/>
          <w:highlight w:val="none"/>
          <w:u w:val="single"/>
        </w:rPr>
        <w:t xml:space="preserve"> 无 。</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（2）履约验收时间：</w:t>
      </w:r>
      <w:r>
        <w:rPr>
          <w:rFonts w:hint="eastAsia" w:ascii="宋体" w:hAnsi="宋体" w:eastAsia="宋体" w:cs="宋体"/>
          <w:bCs/>
          <w:color w:val="auto"/>
          <w:sz w:val="21"/>
          <w:szCs w:val="21"/>
          <w:highlight w:val="none"/>
          <w:u w:val="single"/>
        </w:rPr>
        <w:t xml:space="preserve">交付并试运行满30日，供应商提出验收申请之日起3个工作日内组织验收</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（3）履约验收方式：</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一次性验收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分期/分项验收：</w:t>
      </w:r>
      <w:r>
        <w:rPr>
          <w:rFonts w:hint="eastAsia" w:ascii="宋体" w:hAnsi="宋体" w:eastAsia="宋体" w:cs="宋体"/>
          <w:bCs/>
          <w:color w:val="auto"/>
          <w:sz w:val="21"/>
          <w:szCs w:val="21"/>
          <w:highlight w:val="none"/>
          <w:u w:val="single"/>
        </w:rPr>
        <w:t xml:space="preserve"> （应明确分期</w:t>
      </w:r>
      <w:r>
        <w:rPr>
          <w:rFonts w:hint="eastAsia" w:ascii="宋体" w:hAnsi="宋体" w:eastAsia="宋体" w:cs="宋体"/>
          <w:bCs/>
          <w:color w:val="auto"/>
          <w:sz w:val="21"/>
          <w:szCs w:val="21"/>
          <w:highlight w:val="none"/>
          <w:u w:val="single"/>
          <w:lang w:val="en"/>
        </w:rPr>
        <w:t xml:space="preserve">/分项验收的工作安排</w:t>
      </w:r>
      <w:r>
        <w:rPr>
          <w:rFonts w:hint="eastAsia" w:ascii="宋体" w:hAnsi="宋体" w:eastAsia="宋体" w:cs="宋体"/>
          <w:bCs/>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（4）履约验收程序：</w:t>
      </w:r>
      <w:r/>
    </w:p>
    <w:p>
      <w:pPr>
        <w:ind w:firstLine="420"/>
        <w:keepLines w:val="0"/>
        <w:keepNext w:val="0"/>
        <w:pageBreakBefore w:val="0"/>
        <w:spacing w:line="480" w:lineRule="exact"/>
        <w:widowControl w:val="off"/>
        <w:rPr>
          <w:rStyle w:val="1197"/>
          <w:rFonts w:hint="eastAsia" w:ascii="宋体" w:hAnsi="宋体" w:cs="宋体"/>
          <w:b w:val="0"/>
          <w:bCs w:val="0"/>
          <w:color w:val="auto"/>
          <w:sz w:val="21"/>
          <w:szCs w:val="21"/>
          <w:highlight w:val="none"/>
          <w:u w:val="single"/>
          <w:lang w:val="en-US" w:eastAsia="zh-CN" w:bidi="ar"/>
        </w:rPr>
      </w:pPr>
      <w:r>
        <w:rPr>
          <w:rStyle w:val="1197"/>
          <w:rFonts w:hint="eastAsia" w:ascii="宋体" w:hAnsi="宋体" w:cs="宋体"/>
          <w:b w:val="0"/>
          <w:bCs w:val="0"/>
          <w:color w:val="auto"/>
          <w:sz w:val="21"/>
          <w:szCs w:val="21"/>
          <w:highlight w:val="none"/>
          <w:u w:val="single"/>
          <w:lang w:val="en-US" w:eastAsia="zh-CN" w:bidi="ar"/>
        </w:rPr>
        <w:t xml:space="preserve">1.初验</w:t>
      </w:r>
      <w:r/>
    </w:p>
    <w:p>
      <w:pPr>
        <w:ind w:firstLine="420"/>
        <w:keepLines w:val="0"/>
        <w:keepNext w:val="0"/>
        <w:pageBreakBefore w:val="0"/>
        <w:spacing w:line="480" w:lineRule="exact"/>
        <w:widowControl w:val="off"/>
        <w:rPr>
          <w:rStyle w:val="1197"/>
          <w:rFonts w:hint="eastAsia" w:ascii="宋体" w:hAnsi="宋体" w:cs="宋体"/>
          <w:b w:val="0"/>
          <w:bCs w:val="0"/>
          <w:color w:val="auto"/>
          <w:sz w:val="21"/>
          <w:szCs w:val="21"/>
          <w:highlight w:val="none"/>
          <w:u w:val="single"/>
          <w:lang w:val="en-US" w:eastAsia="zh-CN" w:bidi="ar"/>
        </w:rPr>
      </w:pPr>
      <w:r>
        <w:rPr>
          <w:rStyle w:val="1197"/>
          <w:rFonts w:hint="eastAsia" w:ascii="宋体" w:hAnsi="宋体" w:cs="宋体"/>
          <w:b w:val="0"/>
          <w:bCs w:val="0"/>
          <w:color w:val="auto"/>
          <w:sz w:val="21"/>
          <w:szCs w:val="21"/>
          <w:highlight w:val="none"/>
          <w:u w:val="single"/>
          <w:lang w:val="en-US" w:eastAsia="zh-CN" w:bidi="ar"/>
        </w:rPr>
        <w:t xml:space="preserve">在设备全部交付使用试运行30日后，中标供应商向采购方提出初验申请并提交初验所需资料。采购方根据招标文件和技术要求组织初验，初验无问题后签署初验单。</w:t>
      </w:r>
      <w:r/>
    </w:p>
    <w:p>
      <w:pPr>
        <w:ind w:firstLine="420"/>
        <w:keepLines w:val="0"/>
        <w:keepNext w:val="0"/>
        <w:pageBreakBefore w:val="0"/>
        <w:spacing w:line="480" w:lineRule="exact"/>
        <w:widowControl w:val="off"/>
        <w:rPr>
          <w:rStyle w:val="1197"/>
          <w:rFonts w:hint="eastAsia" w:ascii="宋体" w:hAnsi="宋体" w:cs="宋体"/>
          <w:b w:val="0"/>
          <w:bCs w:val="0"/>
          <w:color w:val="auto"/>
          <w:sz w:val="21"/>
          <w:szCs w:val="21"/>
          <w:highlight w:val="none"/>
          <w:u w:val="single"/>
          <w:lang w:val="en-US" w:eastAsia="zh-CN" w:bidi="ar"/>
        </w:rPr>
      </w:pPr>
      <w:r>
        <w:rPr>
          <w:rStyle w:val="1197"/>
          <w:rFonts w:hint="eastAsia" w:ascii="宋体" w:hAnsi="宋体" w:cs="宋体"/>
          <w:b w:val="0"/>
          <w:bCs w:val="0"/>
          <w:color w:val="auto"/>
          <w:sz w:val="21"/>
          <w:szCs w:val="21"/>
          <w:highlight w:val="none"/>
          <w:u w:val="single"/>
          <w:lang w:val="en-US" w:eastAsia="zh-CN" w:bidi="ar"/>
        </w:rPr>
        <w:t xml:space="preserve">2.终验</w:t>
      </w:r>
      <w:r/>
    </w:p>
    <w:p>
      <w:pPr>
        <w:ind w:firstLine="420"/>
        <w:keepLines w:val="0"/>
        <w:keepNext w:val="0"/>
        <w:pageBreakBefore w:val="0"/>
        <w:spacing w:line="480" w:lineRule="exact"/>
        <w:widowControl w:val="off"/>
        <w:rPr>
          <w:rStyle w:val="1197"/>
          <w:rFonts w:hint="eastAsia" w:ascii="宋体" w:hAnsi="宋体" w:cs="宋体"/>
          <w:b w:val="0"/>
          <w:bCs w:val="0"/>
          <w:color w:val="auto"/>
          <w:sz w:val="21"/>
          <w:szCs w:val="21"/>
          <w:highlight w:val="none"/>
          <w:u w:val="single"/>
          <w:lang w:val="en-US" w:eastAsia="zh-CN" w:bidi="ar"/>
        </w:rPr>
      </w:pPr>
      <w:r>
        <w:rPr>
          <w:rStyle w:val="1197"/>
          <w:rFonts w:hint="eastAsia" w:ascii="宋体" w:hAnsi="宋体" w:cs="宋体"/>
          <w:b w:val="0"/>
          <w:bCs w:val="0"/>
          <w:color w:val="auto"/>
          <w:sz w:val="21"/>
          <w:szCs w:val="21"/>
          <w:highlight w:val="none"/>
          <w:u w:val="single"/>
          <w:lang w:val="en-US" w:eastAsia="zh-CN" w:bidi="ar"/>
        </w:rPr>
        <w:t xml:space="preserve">终端配套加密卡服务期结束后，中标供应商向采购方提出终验申请并提交终验所需资料。采购方根据招标文件和技术要求组织终验，终验无问题后签署验收合格单。</w:t>
      </w:r>
      <w:r/>
    </w:p>
    <w:p>
      <w:pPr>
        <w:ind w:firstLine="420"/>
        <w:keepLines w:val="0"/>
        <w:keepNext w:val="0"/>
        <w:pageBreakBefore w:val="0"/>
        <w:spacing w:line="480" w:lineRule="exact"/>
        <w:widowControl w:val="off"/>
        <w:rPr>
          <w:rStyle w:val="1197"/>
          <w:rFonts w:hint="eastAsia" w:ascii="宋体" w:hAnsi="宋体" w:cs="宋体"/>
          <w:b w:val="0"/>
          <w:bCs w:val="0"/>
          <w:color w:val="auto"/>
          <w:sz w:val="21"/>
          <w:szCs w:val="21"/>
          <w:highlight w:val="none"/>
          <w:u w:val="single"/>
          <w:lang w:val="en-US" w:eastAsia="zh-CN" w:bidi="ar"/>
        </w:rPr>
      </w:pPr>
      <w:r>
        <w:rPr>
          <w:rStyle w:val="1197"/>
          <w:rFonts w:hint="eastAsia" w:ascii="宋体" w:hAnsi="宋体" w:cs="宋体"/>
          <w:b w:val="0"/>
          <w:bCs w:val="0"/>
          <w:color w:val="auto"/>
          <w:sz w:val="21"/>
          <w:szCs w:val="21"/>
          <w:highlight w:val="none"/>
          <w:u w:val="single"/>
          <w:lang w:val="en-US" w:eastAsia="zh-CN" w:bidi="ar"/>
        </w:rPr>
        <w:t xml:space="preserve">3.验收标准</w:t>
      </w:r>
      <w:r/>
    </w:p>
    <w:p>
      <w:pPr>
        <w:pStyle w:val="1083"/>
        <w:ind w:firstLine="480"/>
        <w:spacing w:line="480" w:lineRule="exact"/>
        <w:rPr>
          <w:rFonts w:hint="eastAsia" w:ascii="宋体" w:hAnsi="宋体" w:eastAsia="宋体" w:cs="宋体"/>
          <w:bCs/>
          <w:color w:val="auto"/>
          <w:sz w:val="21"/>
          <w:szCs w:val="21"/>
          <w:highlight w:val="none"/>
          <w:u w:val="single"/>
        </w:rPr>
      </w:pPr>
      <w:r>
        <w:rPr>
          <w:rFonts w:hint="eastAsia" w:ascii="宋体" w:hAnsi="宋体" w:cs="宋体"/>
          <w:b w:val="0"/>
          <w:bCs w:val="0"/>
          <w:color w:val="auto"/>
          <w:sz w:val="21"/>
          <w:szCs w:val="21"/>
          <w:highlight w:val="none"/>
          <w:u w:val="single"/>
        </w:rPr>
        <w:t xml:space="preserve">验收的标准按照招标文件、投标文件及相关标准实施，须服从采购人安排要求。</w:t>
      </w:r>
      <w:r>
        <w:rPr>
          <w:rFonts w:ascii="宋体" w:hAnsi="宋体" w:cs="宋体"/>
          <w:b w:val="0"/>
          <w:bCs w:val="0"/>
          <w:color w:val="auto"/>
          <w:sz w:val="21"/>
          <w:szCs w:val="21"/>
          <w:highlight w:val="none"/>
          <w:u w:val="single"/>
        </w:rPr>
        <w:t xml:space="preserve">验收内容包括：</w:t>
      </w:r>
      <w:r>
        <w:rPr>
          <w:rFonts w:hint="eastAsia" w:ascii="宋体" w:hAnsi="宋体" w:cs="宋体"/>
          <w:b w:val="0"/>
          <w:bCs w:val="0"/>
          <w:color w:val="auto"/>
          <w:sz w:val="21"/>
          <w:szCs w:val="21"/>
          <w:highlight w:val="none"/>
          <w:u w:val="single"/>
          <w:lang w:val="en-US" w:eastAsia="zh-CN"/>
        </w:rPr>
        <w:t xml:space="preserve">品牌、</w:t>
      </w:r>
      <w:r>
        <w:rPr>
          <w:rFonts w:ascii="宋体" w:hAnsi="宋体" w:cs="宋体"/>
          <w:b w:val="0"/>
          <w:bCs w:val="0"/>
          <w:color w:val="auto"/>
          <w:sz w:val="21"/>
          <w:szCs w:val="21"/>
          <w:highlight w:val="none"/>
          <w:u w:val="single"/>
        </w:rPr>
        <w:t xml:space="preserve">规格、数量、外观质量、及货物包装是否完好，安装调试是否合格，所提供货物的装箱清单、用户手册、原厂保修卡、随机资料及配件、随机工具等是否齐全。货物最终验收后，</w:t>
      </w:r>
      <w:r>
        <w:rPr>
          <w:rFonts w:hint="eastAsia" w:ascii="宋体" w:hAnsi="宋体" w:cs="宋体"/>
          <w:b w:val="0"/>
          <w:bCs w:val="0"/>
          <w:color w:val="auto"/>
          <w:sz w:val="21"/>
          <w:szCs w:val="21"/>
          <w:highlight w:val="none"/>
          <w:u w:val="single"/>
          <w:lang w:val="en-US" w:eastAsia="zh-CN"/>
        </w:rPr>
        <w:t xml:space="preserve">中标供应商</w:t>
      </w:r>
      <w:r>
        <w:rPr>
          <w:rFonts w:ascii="宋体" w:hAnsi="宋体" w:cs="宋体"/>
          <w:b w:val="0"/>
          <w:bCs w:val="0"/>
          <w:color w:val="auto"/>
          <w:sz w:val="21"/>
          <w:szCs w:val="21"/>
          <w:highlight w:val="none"/>
          <w:u w:val="single"/>
        </w:rPr>
        <w:t xml:space="preserve">应对由于设计、 工艺或材料的缺陷而发生的任何不足或故障负责，并承担由此引起的一切后果。</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）履约验收其他事项：</w:t>
      </w:r>
      <w:r>
        <w:rPr>
          <w:rFonts w:hint="eastAsia" w:ascii="宋体" w:hAnsi="宋体" w:eastAsia="宋体" w:cs="宋体"/>
          <w:bCs/>
          <w:color w:val="auto"/>
          <w:sz w:val="21"/>
          <w:szCs w:val="21"/>
          <w:highlight w:val="none"/>
          <w:u w:val="single"/>
        </w:rPr>
        <w:t xml:space="preserve">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组成合同的文件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合同生效</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签订之日起 </w:t>
      </w:r>
      <w:r>
        <w:rPr>
          <w:rFonts w:hint="eastAsia" w:ascii="宋体" w:hAnsi="宋体" w:eastAsia="宋体" w:cs="宋体"/>
          <w:color w:val="auto"/>
          <w:sz w:val="21"/>
          <w:szCs w:val="21"/>
          <w:highlight w:val="none"/>
        </w:rPr>
        <w:t xml:space="preserve">生效。</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合同份数</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肆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份，均具有同等法律效力。</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泗洪县公安局</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附件：具体标的及其技术要求和商务要求、联合协议、分包意向协议等。</w:t>
      </w:r>
      <w:r/>
    </w:p>
    <w:tbl>
      <w:tblPr>
        <w:tblStyle w:val="817"/>
        <w:tblW w:w="521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87"/>
        <w:gridCol w:w="2524"/>
        <w:gridCol w:w="2144"/>
        <w:gridCol w:w="2327"/>
      </w:tblGrid>
      <w:tr>
        <w:trPr>
          <w:trHeight w:val="490"/>
        </w:trPr>
        <w:tc>
          <w:tcPr>
            <w:gridSpan w:val="2"/>
            <w:tcBorders>
              <w:bottom w:val="single" w:color="auto" w:sz="2" w:space="0"/>
              <w:right w:val="single" w:color="auto" w:sz="2" w:space="0"/>
            </w:tcBorders>
            <w:tcW w:w="2483"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516"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1171"/>
        </w:trPr>
        <w:tc>
          <w:tcPr>
            <w:tcBorders>
              <w:top w:val="single" w:color="auto" w:sz="2" w:space="0"/>
              <w:right w:val="single" w:color="auto" w:sz="2" w:space="0"/>
            </w:tcBorders>
            <w:tcW w:w="1062" w:type="pct"/>
            <w:vAlign w:val="center"/>
            <w:vMerge w:val="restart"/>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auto" w:sz="2" w:space="0"/>
              <w:left w:val="single" w:color="auto" w:sz="2" w:space="0"/>
              <w:right w:val="single" w:color="auto" w:sz="2" w:space="0"/>
            </w:tcBorders>
            <w:tcW w:w="1421" w:type="pct"/>
            <w:vAlign w:val="center"/>
            <w:vMerge w:val="restart"/>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3"/>
        </w:trPr>
        <w:tc>
          <w:tcPr>
            <w:tcBorders>
              <w:bottom w:val="single" w:color="auto" w:sz="2" w:space="0"/>
              <w:right w:val="single" w:color="auto" w:sz="2" w:space="0"/>
            </w:tcBorders>
            <w:tcW w:w="1062" w:type="pct"/>
            <w:vAlign w:val="center"/>
            <w:vMerge w:val="continue"/>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2" w:space="0"/>
              <w:bottom w:val="single" w:color="auto" w:sz="2" w:space="0"/>
              <w:right w:val="single" w:color="auto" w:sz="2" w:space="0"/>
            </w:tcBorders>
            <w:tcW w:w="1421" w:type="pct"/>
            <w:vAlign w:val="center"/>
            <w:vMerge w:val="continue"/>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tc>
        <w:tc>
          <w:tcPr>
            <w:tcBorders>
              <w:top w:val="single" w:color="auto" w:sz="2" w:space="0"/>
              <w:left w:val="single" w:color="auto" w:sz="2" w:space="0"/>
              <w:bottom w:val="single" w:color="auto" w:sz="2" w:space="0"/>
            </w:tcBorders>
            <w:tcW w:w="1309" w:type="pct"/>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22"/>
              <w:ind w:left="0" w:firstLine="0"/>
              <w:jc w:val="left"/>
              <w:keepLines w:val="0"/>
              <w:keepNext w:val="0"/>
              <w:pageBreakBefore w:val="0"/>
              <w:spacing w:line="44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p>
        </w:tc>
      </w:tr>
    </w:tbl>
    <w:p>
      <w:pPr>
        <w:pStyle w:val="915"/>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8"/>
        <w:jc w:val="both"/>
        <w:pageBreakBefore w:val="0"/>
        <w:spacing w:before="0" w:after="0" w:line="480" w:lineRule="exact"/>
        <w:rPr>
          <w:rFonts w:hint="eastAsia" w:ascii="宋体" w:hAnsi="宋体" w:eastAsia="宋体" w:cs="宋体"/>
          <w:b/>
          <w:bCs/>
          <w:color w:val="auto"/>
          <w:sz w:val="24"/>
          <w:szCs w:val="24"/>
          <w:highlight w:val="none"/>
        </w:rPr>
        <w:sectPr>
          <w:headerReference w:type="default" r:id="rId9"/>
          <w:footerReference w:type="default" r:id="rId12"/>
          <w:footerReference w:type="first" r:id="rId13"/>
          <w:footnotePr/>
          <w:endnotePr/>
          <w:type w:val="nextPage"/>
          <w:pgSz w:w="11906" w:h="16838" w:orient="portrait"/>
          <w:pgMar w:top="1440" w:right="1800" w:bottom="1440" w:left="1800" w:header="851" w:footer="907" w:gutter="0"/>
          <w:cols w:num="1" w:sep="0" w:space="1701" w:equalWidth="1"/>
          <w:docGrid w:linePitch="360"/>
          <w:titlePg/>
        </w:sectPr>
      </w:pPr>
      <w:r/>
      <w:bookmarkStart w:id="50" w:name="_Toc27624"/>
      <w:r/>
      <w:r/>
    </w:p>
    <w:p>
      <w:pPr>
        <w:pStyle w:val="808"/>
        <w:jc w:val="center"/>
        <w:pageBreakBefore w:val="0"/>
        <w:spacing w:before="0" w:after="0"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rPr>
        <w:t xml:space="preserve">第二节 政府采购合同通用条款</w:t>
      </w:r>
      <w:bookmarkEnd w:id="50"/>
      <w:r/>
      <w:r/>
    </w:p>
    <w:p>
      <w:pPr>
        <w:ind w:left="0" w:firstLine="422"/>
        <w:jc w:val="left"/>
        <w:keepLines w:val="0"/>
        <w:keepNext w:val="0"/>
        <w:pageBreakBefore w:val="0"/>
        <w:spacing w:line="440" w:lineRule="exact"/>
        <w:tabs>
          <w:tab w:val="left" w:pos="8820" w:leader="none"/>
          <w:tab w:val="left" w:pos="9345" w:leader="none"/>
          <w:tab w:val="left" w:pos="9765" w:leader="none"/>
        </w:tabs>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 </w:t>
      </w:r>
      <w:r>
        <w:rPr>
          <w:rFonts w:hint="eastAsia" w:ascii="宋体" w:hAnsi="宋体" w:eastAsia="宋体" w:cs="宋体"/>
          <w:b/>
          <w:bCs/>
          <w:color w:val="auto"/>
          <w:sz w:val="21"/>
          <w:szCs w:val="21"/>
          <w:highlight w:val="none"/>
        </w:rPr>
        <w:t xml:space="preserve">定义</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1.1合同当事人</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（1）采购人（以下称甲方）是指使用财政性资金，通过政府采购方式向供应商购买货物及其相关服务的国家机关、事业单位、团体组织。</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（3）其他合同主体是指除采购人和供应商以外，</w:t>
      </w:r>
      <w:r>
        <w:rPr>
          <w:rFonts w:hint="eastAsia" w:ascii="宋体" w:hAnsi="宋体" w:eastAsia="宋体" w:cs="宋体"/>
          <w:bCs/>
          <w:color w:val="auto"/>
          <w:sz w:val="21"/>
          <w:szCs w:val="21"/>
          <w:highlight w:val="none"/>
        </w:rPr>
        <w:t xml:space="preserve">依法参与合同缔结或履行，享有权利、承担义务的合同当事人</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1.2本合同下列术语应解释为：</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（1）“合同”系指</w:t>
      </w:r>
      <w:r>
        <w:rPr>
          <w:rFonts w:hint="eastAsia" w:ascii="宋体" w:hAnsi="宋体" w:eastAsia="宋体" w:cs="宋体"/>
          <w:bCs/>
          <w:color w:val="auto"/>
          <w:sz w:val="21"/>
          <w:szCs w:val="21"/>
          <w:highlight w:val="none"/>
        </w:rPr>
        <w:t xml:space="preserve">合同当事人意思表示达成一致的任何协议，包括签署的</w:t>
      </w:r>
      <w:r>
        <w:rPr>
          <w:rFonts w:hint="eastAsia" w:ascii="宋体" w:hAnsi="宋体" w:eastAsia="宋体" w:cs="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firstLine="42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（2）“合同价款”系指根据本合同规定乙方在全面履行合同义务后甲方应支付给乙方的价款。</w:t>
      </w:r>
      <w:r/>
    </w:p>
    <w:p>
      <w:pPr>
        <w:ind w:left="0" w:firstLine="420"/>
        <w:jc w:val="left"/>
        <w:keepLines w:val="0"/>
        <w:keepNext w:val="0"/>
        <w:pageBreakBefore w:val="0"/>
        <w:spacing w:line="440" w:lineRule="exact"/>
        <w:tabs>
          <w:tab w:val="left" w:pos="570" w:leader="none"/>
          <w:tab w:val="center" w:pos="4153"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（3）“货物”系指乙方根据本合同规定须向甲方提供的各种形态和种类的物品，包括原材料、设备、产品（包括软件）及相关的其</w:t>
      </w:r>
      <w:r>
        <w:rPr>
          <w:rFonts w:hint="eastAsia" w:ascii="宋体" w:hAnsi="宋体" w:eastAsia="宋体" w:cs="宋体"/>
          <w:color w:val="auto"/>
          <w:sz w:val="21"/>
          <w:szCs w:val="21"/>
          <w:highlight w:val="none"/>
        </w:rPr>
        <w:t xml:space="preserve">他</w:t>
      </w:r>
      <w:r>
        <w:rPr>
          <w:rFonts w:hint="eastAsia" w:ascii="宋体" w:hAnsi="宋体" w:eastAsia="宋体" w:cs="宋体"/>
          <w:color w:val="auto"/>
          <w:sz w:val="21"/>
          <w:szCs w:val="21"/>
          <w:highlight w:val="none"/>
        </w:rPr>
        <w:t xml:space="preserve">备品备件、工具、手册及</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技术资料和材料等。</w:t>
      </w:r>
      <w:r>
        <w:tab/>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（4）“相关服务”系指根据合同规定，乙方应提供的与货物有关的技术、管理和</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义务。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firstLine="42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（7）其他术语解释，见【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numPr>
          <w:ilvl w:val="0"/>
          <w:numId w:val="6"/>
        </w:num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合同标的及金额</w:t>
      </w:r>
      <w:r/>
    </w:p>
    <w:p>
      <w:pPr>
        <w:ind w:left="0" w:firstLine="420"/>
        <w:jc w:val="left"/>
        <w:keepLines w:val="0"/>
        <w:keepNext w:val="0"/>
        <w:pageBreakBefore w:val="0"/>
        <w:spacing w:line="440" w:lineRule="exac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任何费用。</w:t>
      </w:r>
      <w:r/>
    </w:p>
    <w:p>
      <w:pPr>
        <w:ind w:left="0"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履行合同的时间、地点和方式</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乙方应当在约定的时间、地点，按照约定方式履行合同。</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 甲方的权利和义务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甲方有权要求乙方对缺陷部分予以修复，并按合同约定享有货物保修及其他合同约定的权利。</w:t>
      </w:r>
      <w:r/>
    </w:p>
    <w:p>
      <w:pPr>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甲方应当按照合同约定及时对交付的货物进行验收，未在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约定的期限内对乙方履约提出任何异议或者向乙方作出任何说明的，视为验收通过。</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甲方应当根据合同约定及时向乙方支付合同价款，不得以内部人员变更、履行内部付款流程等为由，拒绝或迟延支付。</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约定应由甲方承担的其他义务和责任。</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 乙方的权利和义务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签署合同后，乙方应确定项目负责人（或项目联系人），负责与本合同有关的事务。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21"/>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5.3乙方有权根据合同约定向甲方收取合同价款。</w:t>
      </w:r>
      <w:r/>
    </w:p>
    <w:p>
      <w:pPr>
        <w:pStyle w:val="821"/>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numPr>
          <w:ilvl w:val="0"/>
          <w:numId w:val="7"/>
        </w:num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合同履行</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甲乙双方应当按照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约定顺序履行合同义务；如果没有先后顺序的，应当同时履行。</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 货物包装、运输、保险和交付要求</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w:t>
      </w:r>
      <w:r>
        <w:rPr>
          <w:rFonts w:hint="eastAsia" w:ascii="宋体" w:hAnsi="宋体" w:eastAsia="宋体" w:cs="宋体"/>
          <w:bCs/>
          <w:color w:val="auto"/>
          <w:sz w:val="21"/>
          <w:szCs w:val="21"/>
          <w:highlight w:val="none"/>
        </w:rPr>
        <w:t xml:space="preserve">涉及商品包装、快递包装的，</w:t>
      </w:r>
      <w:r>
        <w:rPr>
          <w:rFonts w:hint="eastAsia" w:ascii="宋体" w:hAnsi="宋体" w:eastAsia="宋体" w:cs="宋体"/>
          <w:color w:val="auto"/>
          <w:sz w:val="21"/>
          <w:szCs w:val="21"/>
          <w:highlight w:val="none"/>
        </w:rPr>
        <w:t xml:space="preserve">除</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另有约定外，</w:t>
      </w:r>
      <w:r>
        <w:rPr>
          <w:rFonts w:hint="eastAsia" w:ascii="宋体" w:hAnsi="宋体" w:eastAsia="宋体" w:cs="宋体"/>
          <w:color w:val="auto"/>
          <w:sz w:val="21"/>
          <w:szCs w:val="21"/>
          <w:highlight w:val="none"/>
        </w:rPr>
        <w:t xml:space="preserve">包装应适应远距离运输、防潮、防震、防锈和防野蛮装卸等要求，确保货物安全无损地运抵</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约定的</w:t>
      </w:r>
      <w:r>
        <w:rPr>
          <w:rFonts w:hint="eastAsia" w:ascii="宋体" w:hAnsi="宋体" w:eastAsia="宋体" w:cs="宋体"/>
          <w:color w:val="auto"/>
          <w:sz w:val="21"/>
          <w:szCs w:val="21"/>
          <w:highlight w:val="none"/>
        </w:rPr>
        <w:t xml:space="preserve">指定现场。</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另有约定外，</w:t>
      </w:r>
      <w:r>
        <w:rPr>
          <w:rFonts w:hint="eastAsia" w:ascii="宋体" w:hAnsi="宋体" w:eastAsia="宋体" w:cs="宋体"/>
          <w:color w:val="auto"/>
          <w:sz w:val="21"/>
          <w:szCs w:val="21"/>
          <w:highlight w:val="none"/>
        </w:rPr>
        <w:t xml:space="preserve">乙方负责办理将货物运抵本合同规定的交货地点，并装卸、交付至甲方的一切运输事项，相关费用应包含在合同价款中。</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货物保险要求按</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规定执行</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乙方在运输到达之前应提前通知甲方，并提示货物运输装卸的注意事项，甲方配合乙方做好货物的接收工作。</w:t>
      </w:r>
      <w:r/>
    </w:p>
    <w:p>
      <w:pPr>
        <w:pStyle w:val="915"/>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如因包装、运输问题导致货物损毁、丢失或者品质下降，甲方有权要求降价、换货、拒收部分或整批货物，由此产生的费用和损失，均由乙方承担。</w:t>
      </w:r>
      <w:r/>
    </w:p>
    <w:p>
      <w:pPr>
        <w:ind w:left="0"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质量标准和保证</w:t>
      </w:r>
      <w:r/>
    </w:p>
    <w:p>
      <w:pPr>
        <w:pStyle w:val="825"/>
        <w:ind w:left="0" w:firstLine="420"/>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质量标准</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5"/>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（2）采用中华人民共和国法定计量单位。</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（3）乙方所提供的货物应符合国家有关安全、环保、卫生的规定。</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保证</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规定或乙方书面承诺（两者以较长的为准）的质量保证期内，本保证保持有效。</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（2）在质量保证期内所发现的缺陷，甲方应尽快以书面形式通知乙方。</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（3）乙方收到通知后，应在</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规定的响应时间内以合理的速度免费维修或更换有缺陷的货物或部件。</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 权利瑕疵担保</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乙方保证对其出售的货物享有合法的权利。</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乙方保证在交付的货物上不存在抵押权等担保物权。</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如甲方使用上述货物构成对第三人侵权的，则由乙方承担全部责任。</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 知识产权保护</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乙方对其所销售的货物应当享有知识产权或经权利人合法授权，保证没有侵犯任何第三人的知识产权等权利。</w:t>
      </w:r>
      <w:bookmarkStart w:id="51" w:name="_Hlk163047038"/>
      <w:r>
        <w:rPr>
          <w:rFonts w:hint="eastAsia" w:ascii="宋体" w:hAnsi="宋体" w:eastAsia="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51"/>
      <w:r>
        <w:rPr>
          <w:rFonts w:hint="eastAsia" w:ascii="宋体" w:hAnsi="宋体" w:eastAsia="宋体" w:cs="宋体"/>
          <w:color w:val="auto"/>
          <w:sz w:val="21"/>
          <w:szCs w:val="21"/>
          <w:highlight w:val="none"/>
        </w:rPr>
        <w:t xml:space="preserve">。</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 保密义务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 合同价款支付</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合同价款支付按照国库集中支付制度及财政管理相关规定执行。</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pStyle w:val="821"/>
        <w:ind w:left="0" w:firstLine="422"/>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 履约保证金</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乙方</w:t>
      </w:r>
      <w:r>
        <w:rPr>
          <w:rFonts w:hint="eastAsia" w:ascii="宋体" w:hAnsi="宋体" w:eastAsia="宋体" w:cs="宋体"/>
          <w:color w:val="auto"/>
          <w:sz w:val="21"/>
          <w:szCs w:val="21"/>
          <w:highlight w:val="none"/>
          <w:lang w:val="zh-CN"/>
        </w:rPr>
        <w:t xml:space="preserve">除银行电汇、网上银行、数字人民币外，</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还可选用银行保函、担保公司的保证担保或保险公司的保证保险、等多种形式向</w:t>
      </w:r>
      <w:r>
        <w:rPr>
          <w:rFonts w:hint="eastAsia" w:ascii="宋体" w:hAnsi="宋体" w:eastAsia="宋体" w:cs="宋体"/>
          <w:color w:val="auto"/>
          <w:sz w:val="21"/>
          <w:szCs w:val="21"/>
          <w:highlight w:val="none"/>
        </w:rPr>
        <w:t xml:space="preserve">甲方提交。</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如果乙方出现</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甲方在项目通过验收后按照</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规定支付。</w:t>
      </w:r>
      <w:r/>
    </w:p>
    <w:p>
      <w:pPr>
        <w:ind w:left="0"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14. </w:t>
      </w:r>
      <w:r>
        <w:rPr>
          <w:rFonts w:hint="eastAsia" w:ascii="宋体" w:hAnsi="宋体" w:eastAsia="宋体" w:cs="宋体"/>
          <w:b/>
          <w:color w:val="auto"/>
          <w:sz w:val="21"/>
          <w:szCs w:val="21"/>
          <w:highlight w:val="none"/>
        </w:rPr>
        <w:t xml:space="preserve">售后服务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除项目不涉及或采购活动中明确约定无须承担外，乙方还应提供下列服务：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（1）货物的现场移动、安装、调试、启动监督及技术支持；</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（2）提供货物组装和维修所需的专用工具和辅助材料；</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约定的期限内对所有的货物实施运行监督、维修，但前提条件是该服务并不能免除乙方在质量保证期内所承担的义务；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（4）在制造商所在地或指定现场就货物的安装、启动、运营、维护、废弃处置等对甲方操作人员进行培训；</w:t>
      </w:r>
      <w:r/>
    </w:p>
    <w:p>
      <w:pPr>
        <w:pStyle w:val="915"/>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规定由乙方提供的其他服务。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乙方提供的售后服务的费用已包含在合同价款中，甲方不再另行支付。</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 违约责任</w:t>
      </w:r>
      <w:r/>
    </w:p>
    <w:p>
      <w:pPr>
        <w:ind w:left="0" w:firstLine="420"/>
        <w:jc w:val="left"/>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15.1质量瑕疵的违约责任</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要求</w:t>
      </w:r>
      <w:r>
        <w:rPr>
          <w:rFonts w:hint="eastAsia" w:ascii="宋体" w:hAnsi="宋体" w:eastAsia="宋体" w:cs="宋体"/>
          <w:color w:val="auto"/>
          <w:sz w:val="21"/>
          <w:szCs w:val="21"/>
          <w:highlight w:val="none"/>
        </w:rPr>
        <w:t xml:space="preserve">及时修理、重作、更换，并承担由此给甲方造成的损失。</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15.2 迟延交货的违约责任</w:t>
      </w:r>
      <w:r>
        <w:rPr>
          <w:rFonts w:hint="eastAsia" w:ascii="宋体" w:hAnsi="宋体" w:eastAsia="宋体" w:cs="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规定执行。如果涉及公共利益，且赔偿金额无法弥补公共利益损失，甲方可要求继续履行或者采取其他补救措施。</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迟延支付的违约责任</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甲方存在迟延支付乙方合同款项的，应当承担</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规定的逾期付款利息。</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15.4其他违约责任根据项目实际需要按</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w:t>
      </w:r>
      <w:r/>
    </w:p>
    <w:p>
      <w:pPr>
        <w:numPr>
          <w:ilvl w:val="0"/>
          <w:numId w:val="8"/>
        </w:numPr>
        <w:ind w:left="0"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合同变更、中止与终止</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16.1合同的变更</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16.2合同的中止</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（1）合同履行过程中因供应商就采购文件、采购过程或结果提起投诉的，甲方认为有必要的，可以中止合同的履行。</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（4）甲方不得以行政区划调整、政府换届、机构或者职能调整以及相关责任人更替为由中止合同。</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16.3合同的终止</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（1）合同因有效期限届满而终止；</w:t>
      </w:r>
      <w:r/>
    </w:p>
    <w:p>
      <w:pPr>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未按合同约定履行，构成根本性违约的，甲方有权终止合同，并追究乙方的违约责任，乙方向甲方支付2万元违约金，乙方承担甲方因此产生的损失（包含但不限于律师费、诉讼费、保全费、执行费等）。</w:t>
      </w:r>
      <w:r/>
    </w:p>
    <w:p>
      <w:pPr>
        <w:pStyle w:val="915"/>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涉及国家利益、社会公共利益的情形</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 合同分包</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乙方不得将合同转包给其他供应商。涉及合同分包的，乙方应根据采购文件和投标（响应）文件规定进行合同分包。</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 不可抗力</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不可抗力是指合同双方不能预见、不能避免且不能克服的客观情况。</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任何一方对由于不可抗力造成的部分或全部不能履行合同不承担违约责任。但迟延履行后发生不可抗力的，不能免除责任。</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19. 解决争议的方法</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中进一步约定选择与争议有实际联系的地点的人民法院管辖，但管辖法院的约定不得违反级别管辖和专属管辖的规定。</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如甲乙双方有争议的事项不影响合同其他部分的履行，在争议解决期间，合同其他部分应当继续履行。</w:t>
      </w:r>
      <w:r/>
    </w:p>
    <w:p>
      <w:pPr>
        <w:ind w:left="0" w:firstLine="422"/>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 政府采购政策</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w:t>
      </w:r>
      <w:r>
        <w:rPr>
          <w:rFonts w:hint="eastAsia" w:ascii="宋体" w:hAnsi="宋体" w:eastAsia="宋体" w:cs="宋体"/>
          <w:color w:val="auto"/>
          <w:sz w:val="21"/>
          <w:szCs w:val="21"/>
          <w:highlight w:val="none"/>
          <w:lang w:val="en-GB"/>
        </w:rPr>
        <w:t xml:space="preserve">本合同应当按照规定执行政府采购政策。</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本合同依法执行政府采购政策的方式和内容，属于合同履约验收的范围。甲乙双方</w:t>
      </w:r>
      <w:r>
        <w:rPr>
          <w:rFonts w:hint="eastAsia" w:ascii="宋体" w:hAnsi="宋体" w:eastAsia="宋体" w:cs="宋体"/>
          <w:color w:val="auto"/>
          <w:sz w:val="21"/>
          <w:szCs w:val="21"/>
          <w:highlight w:val="none"/>
          <w:lang w:val="en-GB"/>
        </w:rPr>
        <w:t xml:space="preserve">未按规定要求执行政府采购政策造成损失的</w:t>
      </w:r>
      <w:r>
        <w:rPr>
          <w:rFonts w:hint="eastAsia" w:ascii="宋体" w:hAnsi="宋体" w:eastAsia="宋体" w:cs="宋体"/>
          <w:color w:val="auto"/>
          <w:sz w:val="21"/>
          <w:szCs w:val="21"/>
          <w:highlight w:val="none"/>
        </w:rPr>
        <w:t xml:space="preserve">，有过错的一方应当承担赔偿责任，双方都有过错的，各自承担相应的责任。</w:t>
      </w:r>
      <w:r/>
    </w:p>
    <w:p>
      <w:pPr>
        <w:pStyle w:val="821"/>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 法律适用</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21.1本合同的订立、生效、解释、履行及与本合同有关的争议解决，均适用法律、行政法规。</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21.2本合同条款与法律、行政法规的强制性规定不一致的，双方当事人应按照法律、行政法规的强制性规定修改本合同的相关条款。</w:t>
      </w:r>
      <w:r/>
    </w:p>
    <w:p>
      <w:pPr>
        <w:ind w:left="0"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通知</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pStyle w:val="915"/>
        <w:ind w:left="0" w:firstLine="420"/>
        <w:jc w:val="both"/>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一方当事人变更名称、住所、联系人、联系电话或电子邮箱等信息的，应当在变更后3日内及时书面通知对方，对方实际收到变更通知前的送达仍为有效送达。</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22.3本合同一方给另一方的通知均应采用书面形式，传真或快递送到本合同中规定的对方的地址和办理签收手续。</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22.4通知以送达之日或通知书中规定的生效之日起生效，两者中以较迟之日为准。</w:t>
      </w:r>
      <w:r/>
    </w:p>
    <w:p>
      <w:pPr>
        <w:numPr>
          <w:ilvl w:val="0"/>
          <w:numId w:val="9"/>
        </w:numPr>
        <w:ind w:left="0" w:firstLine="422"/>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合同未尽事项</w:t>
      </w:r>
      <w:r/>
    </w:p>
    <w:p>
      <w:pPr>
        <w:ind w:left="0" w:firstLine="420"/>
        <w:jc w:val="left"/>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23.1合同未尽事项见</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w:t>
      </w:r>
      <w:r/>
    </w:p>
    <w:p>
      <w:pPr>
        <w:ind w:lef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23.2 合同附件与合同正文具有同等的法律效力。</w:t>
      </w:r>
      <w:r/>
    </w:p>
    <w:p>
      <w:pPr>
        <w:pStyle w:val="915"/>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8"/>
        <w:ind w:left="0" w:firstLine="482"/>
        <w:jc w:val="center"/>
        <w:pageBreakBefore w:val="0"/>
        <w:spacing w:before="0" w:after="0" w:line="480" w:lineRule="exact"/>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bCs/>
          <w:color w:val="auto"/>
          <w:sz w:val="24"/>
          <w:szCs w:val="24"/>
          <w:highlight w:val="none"/>
        </w:rPr>
      </w:r>
      <w:r/>
    </w:p>
    <w:p>
      <w:pPr>
        <w:pStyle w:val="808"/>
        <w:ind w:firstLine="0"/>
        <w:jc w:val="center"/>
        <w:keepLines/>
        <w:keepNext/>
        <w:pageBreakBefore w:val="0"/>
        <w:spacing w:before="181" w:after="181"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32"/>
          <w:szCs w:val="32"/>
          <w:highlight w:val="none"/>
        </w:rPr>
        <w:t xml:space="preserve">第三节 政府采购合同专用条款</w:t>
      </w:r>
      <w:r/>
    </w:p>
    <w:tbl>
      <w:tblPr>
        <w:tblStyle w:val="842"/>
        <w:tblW w:w="9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1850"/>
        <w:gridCol w:w="5592"/>
      </w:tblGrid>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第1.2（6）项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联合体具体要求</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w:t>
            </w:r>
            <w:r/>
          </w:p>
        </w:tc>
      </w:tr>
      <w:tr>
        <w:trPr>
          <w:trHeight w:val="90"/>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第1.2（7）项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其他术语解释</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第4.4款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履约验收中甲方提出异议或作出说明的期限</w:t>
            </w:r>
            <w:r/>
          </w:p>
        </w:tc>
        <w:tc>
          <w:tcPr>
            <w:tcMar>
              <w:left w:w="108" w:type="dxa"/>
              <w:top w:w="0" w:type="dxa"/>
              <w:right w:w="108" w:type="dxa"/>
              <w:bottom w:w="0" w:type="dxa"/>
            </w:tcMar>
            <w:tcW w:w="5592" w:type="dxa"/>
            <w:vAlign w:val="center"/>
            <w:textDirection w:val="lrTb"/>
            <w:noWrap w:val="false"/>
          </w:tcPr>
          <w:p>
            <w:p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履约验收中甲方提出异议的期限：3个工作日。</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或履约验收中甲方作出说明的期限：3个工作日。</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第4.6款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约定甲方承担的其他义务和责任</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甲方无正当理由拒收货物的，甲方向乙方偿付拒收货款总值0.5% 的违约金</w:t>
            </w:r>
            <w:r>
              <w:rPr>
                <w:rFonts w:hint="eastAsia" w:ascii="宋体" w:hAnsi="宋体" w:eastAsia="宋体" w:cs="宋体"/>
                <w:color w:val="auto"/>
                <w:sz w:val="21"/>
                <w:szCs w:val="21"/>
                <w:highlight w:val="none"/>
                <w:lang w:eastAsia="zh-CN"/>
              </w:rPr>
              <w:t xml:space="preserve">。</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第5.4款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约定乙方承担的其他义务和责任</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1.乙方保证所交付的货物（包含与货物相关的服务）的所有权完全属于乙方且无任何抵押、查封等产权瑕疵；</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2.乙方所供货物质量不符合规定的，由其负责包换或包修，并承担修理、调换或退货而支付的实际费用；</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3.非因甲方原因，乙方不履行本合同规定的义务，致使工期延误，甲方有权要求其强制履行或解除合同，并要求乙方等额赔偿由此造成的一切损失。</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4.乙方所供产品质量经相关部门检验不合格的，甲方有权没收乙方全部不合格产品。乙方接受相关行政处罚同时乙方应无条件调换合格产品完成项目供货并承担甲方一切损失。</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第6.1款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履行合同义务的顺序</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（1）政府采购合同协议书及其变更、补充协议；</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（2）政府采购合同专用条款；</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（3）政府采购合同通用条款；</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（4）中标（成交）通知书；</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（5）投标（响应）文件；</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（6）采购文件；</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（7）有关技术文件，图纸；</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tc>
      </w:tr>
      <w:tr>
        <w:trPr>
          <w:trHeight w:val="667"/>
        </w:trPr>
        <w:tc>
          <w:tcPr>
            <w:tcMar>
              <w:left w:w="108" w:type="dxa"/>
              <w:top w:w="0" w:type="dxa"/>
              <w:right w:w="108" w:type="dxa"/>
              <w:bottom w:w="0" w:type="dxa"/>
            </w:tcMar>
            <w:tcW w:w="1590" w:type="dxa"/>
            <w:vAlign w:val="center"/>
            <w:vMerge w:val="restart"/>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第7.1款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包装特殊要求</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1.商品包装环保要求</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（1）商品包装层数不得超过3 层，空隙率不大于 40%；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（2）商品包装尽可能使用单一材质的包装材料，如因功能需求必需使用不同材质，不同材质间应便于分离；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（3）商品包装中铅、汞、镉、六价铬的总含量应不大于 100mg/kg；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（4）商品包装印刷使用的油墨中挥发性有机化合物(VOCs) 含量应不大于 5%（以重量计）；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（5）塑料材质商品包装上呈现的印刷颜色不得超过6 色；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（6）纸质商品包装应使用75%以上的可再生纤维原料生产；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（7）木质商品包装的原料应来源于可持续性森林。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2.快递包装环保要求</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（1）快递包装中重金属（铅、汞、镉、六价铬）总量应不大于100mg/kg；</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（2）快递包装印刷使用的油墨中不应添加邻苯二甲酸酯，其挥发性有机化合物(VOCs)含量应不大于5%（以重量计）；</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（3）快递包装中使用纸基材的包装材料，纸基材中的有机氯的含量应不大于150 mg/kg；</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（5）快递中使用的塑料包装袋不得使用聚氯乙烯作为原料，且原料应为单一材质制成，生物分解率大于60%；</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（6）快递中使用的充气类填充物不得使用聚氯乙烯作为原料，且原料为单一材质制成，生物分解率大于60%；</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（7）快递中使用的集装袋应为单一材质制成，其重复使用次数应不小于80 次；</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（8）快递中应使用幅宽不大于45mm 的生物降解胶带；</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（9）快递包装中不得使用溶剂型胶粘剂；</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（10）快递应使用电子面单；</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（11）直接使用商品包装作为快递包装的商品，其商品包装满足《商品包装政府采购需求标准（试行）》即可；</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（12）快递包装产品质量和封装方式应符合相关国家或行业标准技术指标要求。</w:t>
            </w:r>
            <w:r/>
          </w:p>
        </w:tc>
      </w:tr>
      <w:tr>
        <w:trPr>
          <w:trHeight w:val="378"/>
        </w:trPr>
        <w:tc>
          <w:tcPr>
            <w:tcW w:w="1590" w:type="dxa"/>
            <w:vMerge w:val="continue"/>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指定现场</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甲方指定的项目现场。</w:t>
            </w:r>
            <w:r/>
          </w:p>
        </w:tc>
      </w:tr>
      <w:tr>
        <w:trPr>
          <w:trHeight w:val="595"/>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第7.2款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运输特殊要求</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由乙方视情况自定运输方式，费用自负。</w:t>
            </w:r>
            <w:r/>
          </w:p>
        </w:tc>
      </w:tr>
      <w:tr>
        <w:trPr>
          <w:trHeight w:val="667"/>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第7.3款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保险要求</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90"/>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第8.2（1）项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运行维护期（售后服务期）</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tabs>
                <w:tab w:val="left" w:pos="4139"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售后维保期：3年。以交付使用并通过验收合格次日起开始计算。在售后维保期内对产品质量实行三包，因货物配置或制造质量问题而引起的故障，立即予以</w:t>
            </w:r>
            <w:r>
              <w:rPr>
                <w:rFonts w:hint="eastAsia" w:ascii="宋体" w:hAnsi="宋体" w:eastAsia="宋体" w:cs="宋体"/>
                <w:color w:val="auto"/>
                <w:sz w:val="21"/>
                <w:szCs w:val="21"/>
                <w:highlight w:val="none"/>
              </w:rPr>
              <w:t xml:space="preserve">更</w:t>
            </w:r>
            <w:r>
              <w:rPr>
                <w:rFonts w:hint="eastAsia" w:ascii="宋体" w:hAnsi="宋体" w:eastAsia="宋体" w:cs="宋体"/>
                <w:color w:val="auto"/>
                <w:sz w:val="21"/>
                <w:szCs w:val="21"/>
                <w:highlight w:val="none"/>
              </w:rPr>
              <w:t xml:space="preserve">换。由此引起的一切费用由供应商承担。</w:t>
            </w:r>
            <w:r>
              <w:tab/>
            </w:r>
            <w:r/>
          </w:p>
        </w:tc>
      </w:tr>
      <w:tr>
        <w:trPr>
          <w:trHeight w:val="543"/>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第8.2（3）项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货物质量缺陷</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响应时间</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）响应时间。在售后维保期内，供应商服务时间应为 7×24小时，当接到故障电话通知立即响应、不超过2小时内积极配合解决故障。</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）未在上述规定时间内履行服务义务的，采购人可选择是否委托第三方代为处理，由此产生的费用及损失均由供应商承担。 </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第11.1款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其他应当保密的信息</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72"/>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第12.2款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合同价款支付时间</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收到供应商发票后10个工作日内。</w:t>
            </w:r>
            <w:r/>
          </w:p>
        </w:tc>
      </w:tr>
      <w:tr>
        <w:trPr>
          <w:trHeight w:val="697"/>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第13.2款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履约保证金不予退还的情形</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第13.3款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履约保证金退还时间及逾期退还的违约金</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货物类项目，项目验收合格，出具验收报告及履约保证金收据申请退付；</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履约保证金退还时间：采购单位收到投标人退付申请后5个工作日内退还；</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rHeight w:val="784"/>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第14.1（3）项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运行监督、维修期限</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售后维保期3年。以交付使用并通过验收合格次日起开始计算。</w:t>
            </w:r>
            <w:r/>
          </w:p>
        </w:tc>
      </w:tr>
      <w:tr>
        <w:trPr>
          <w:trHeight w:val="784"/>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第14.1（5）项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货物回收的约定</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由甲乙双方合议定价。</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第14.1（6）项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乙方提供的其他服务</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详见投标文件。</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第15.1款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修理、重作、更换相关具体规定</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1.乙方应按招标文件规定的货物性能、技术要求、质量标准向甲方提供未经使用的全新产品。</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2.乙方提供的货物在售后服务期内因货物本身的质量问题发生故障，乙方应负责免费更换。对达不到技术要求者，根据实际情况，经双方协商，可按以下办法处理：</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⑴修理、重作、更换：由乙方承担所发生的全部费用。</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⑵贬值处理：由甲乙双方合议定价。</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⑶退货处理：乙方应退还甲方支付的合同款，同时应承担该货物的直接费用（运输、保险、检验、货款利息及银行手续费等）。</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3.售后维保期3年。以交付使用并通过验收合格次日起开始计算。在售后维保期内对产品质量实行三包，因货物配置或制造质量问题而引起的故障，立即予以</w:t>
            </w:r>
            <w:r>
              <w:rPr>
                <w:rFonts w:hint="eastAsia" w:ascii="宋体" w:hAnsi="宋体" w:eastAsia="宋体" w:cs="宋体"/>
                <w:color w:val="auto"/>
                <w:sz w:val="21"/>
                <w:szCs w:val="21"/>
                <w:highlight w:val="none"/>
              </w:rPr>
              <w:t xml:space="preserve">更</w:t>
            </w:r>
            <w:r>
              <w:rPr>
                <w:rFonts w:hint="eastAsia" w:ascii="宋体" w:hAnsi="宋体" w:eastAsia="宋体" w:cs="宋体"/>
                <w:color w:val="auto"/>
                <w:sz w:val="21"/>
                <w:szCs w:val="21"/>
                <w:highlight w:val="none"/>
              </w:rPr>
              <w:t xml:space="preserve">换。由此引起的一切费用由供应商承担。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）响应时间。在售后维保期内，供应商服务时间应为 7×24小时，当接到故障电话通知立即响应、不超过2小时内积极配合解决故障。</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）未在上述规定时间内履行服务义务的，采购人可选择是否委托第三方代为处理，由此产生的费用及损失均由供应商承担。 </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）在规定的售后维保期内，中标方须对警务终端提供软件免费升级(按要求进行必要的双系统更新升级以及漏洞修复升级)。</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在规定的售后维保期内，中标方按照移动警务终端安全要求提供维修或更换服务，保证维修过程不泄露公安内部数据，并不收取任何额外费用，如存储介质出现损坏，中标方须提供新的存储介质，并承诺不回收已损坏的存储介质，损坏的存储介质归采购人所有。</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）在规定的售后维保期内（第3年），中标方为每部终端免费提供一次电池更换服务(要求原装电池),每年提供不低于1次免费贴膜、保养等售后服务。</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）在规定的售后维保期内，中标方要提供不低于71套移动警务终端的碎屏更换服务，按市场价减半收取费用。</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）在规定的售后维保期之后的现场维护维修，另行商定维护费用标准，中标方将按所提供的人工、材料成本向采购人收取维护费用。</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备注：签订合同时根据投标人投标文件响应内容调整。</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第15.2（2）项</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迟延交货赔偿费</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乙方不按期完成合同约定的内容，应向甲方支付违约金，除甲方或不可抗力造成原因外，每延迟交付一天，按合同总价款的万分之一支付违约金，违约金可直接从</w:t>
            </w:r>
            <w:r>
              <w:rPr>
                <w:rFonts w:hint="eastAsia" w:ascii="宋体" w:hAnsi="宋体" w:eastAsia="宋体" w:cs="宋体"/>
                <w:color w:val="auto"/>
                <w:sz w:val="21"/>
                <w:szCs w:val="21"/>
                <w:highlight w:val="none"/>
                <w:lang w:val="en-US" w:eastAsia="zh-CN"/>
              </w:rPr>
              <w:t xml:space="preserve">待付</w:t>
            </w:r>
            <w:r>
              <w:rPr>
                <w:rFonts w:hint="eastAsia" w:ascii="宋体" w:hAnsi="宋体" w:eastAsia="宋体" w:cs="宋体"/>
                <w:color w:val="auto"/>
                <w:sz w:val="21"/>
                <w:szCs w:val="21"/>
                <w:highlight w:val="none"/>
              </w:rPr>
              <w:t xml:space="preserve">款中扣除；延期超过10 日，甲方有权强制解除合同并追究乙方违约责任，乙方向甲方支付合同金额10%违约金，乙方承担甲方因此产生的损失（包含但不限于律师费、诉讼费、保全费、执行费等）。</w:t>
            </w:r>
            <w:r/>
          </w:p>
        </w:tc>
      </w:tr>
      <w:tr>
        <w:trPr>
          <w:trHeight w:val="73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第15.3款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逾期付款利息</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第15.4款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其他违约责任</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所交的货物品种、型号、规格、技术参数、质量不符合合同规定及询价通知书规定标准的，甲方有权拒收该货物，乙方愿意更换货物但逾期交货的，按乙方逾期交货处理。乙方拒绝更换货物的，甲方有权强制解除合同并追究乙方违约责任，乙方向甲方支付合同金额10%违约金，乙方承担甲方因此产生的损失（包含但不限于律师费、诉讼费、保全费、执行费等）。</w:t>
            </w:r>
            <w:r/>
          </w:p>
        </w:tc>
      </w:tr>
      <w:tr>
        <w:trPr>
          <w:trHeight w:val="90"/>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第19.2款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解决争议的方法</w:t>
            </w:r>
            <w:r/>
          </w:p>
        </w:tc>
        <w:tc>
          <w:tcPr>
            <w:tcMar>
              <w:left w:w="108" w:type="dxa"/>
              <w:top w:w="0" w:type="dxa"/>
              <w:right w:w="108" w:type="dxa"/>
              <w:bottom w:w="0" w:type="dxa"/>
            </w:tcMar>
            <w:tcW w:w="5592"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因本合同及合同有关事项发生的争议，按下列第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仲裁委员会申请仲裁，仲裁地点为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泗洪县 </w:t>
            </w:r>
            <w:r>
              <w:rPr>
                <w:rFonts w:hint="eastAsia" w:ascii="宋体" w:hAnsi="宋体" w:eastAsia="宋体" w:cs="宋体"/>
                <w:color w:val="auto"/>
                <w:sz w:val="21"/>
                <w:szCs w:val="21"/>
                <w:highlight w:val="none"/>
              </w:rPr>
              <w:t xml:space="preserve">人民法院起诉。</w:t>
            </w:r>
            <w:r/>
          </w:p>
        </w:tc>
      </w:tr>
      <w:tr>
        <w:trPr>
          <w:trHeight w:val="257"/>
        </w:trPr>
        <w:tc>
          <w:tcPr>
            <w:tcMar>
              <w:left w:w="108" w:type="dxa"/>
              <w:top w:w="0" w:type="dxa"/>
              <w:right w:w="108" w:type="dxa"/>
              <w:bottom w:w="0" w:type="dxa"/>
            </w:tcMar>
            <w:tcW w:w="1590" w:type="dxa"/>
            <w:vAlign w:val="center"/>
            <w:textDirection w:val="lrTb"/>
            <w:noWrap w:val="false"/>
          </w:tcPr>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第23.1款</w:t>
            </w:r>
            <w:r/>
          </w:p>
        </w:tc>
        <w:tc>
          <w:tcPr>
            <w:tcMar>
              <w:left w:w="108" w:type="dxa"/>
              <w:top w:w="0" w:type="dxa"/>
              <w:right w:w="108" w:type="dxa"/>
              <w:bottom w:w="0" w:type="dxa"/>
            </w:tcMar>
            <w:tcW w:w="1850" w:type="dxa"/>
            <w:vAlign w:val="center"/>
            <w:textDirection w:val="lrTb"/>
            <w:noWrap w:val="false"/>
          </w:tcPr>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其他专用条款</w:t>
            </w:r>
            <w:r/>
          </w:p>
        </w:tc>
        <w:tc>
          <w:tcPr>
            <w:tcMar>
              <w:left w:w="108" w:type="dxa"/>
              <w:top w:w="0" w:type="dxa"/>
              <w:right w:w="108" w:type="dxa"/>
              <w:bottom w:w="0" w:type="dxa"/>
            </w:tcMar>
            <w:tcW w:w="5592" w:type="dxa"/>
            <w:vAlign w:val="center"/>
            <w:textDirection w:val="lrTb"/>
            <w:noWrap w:val="false"/>
          </w:tcPr>
          <w:p>
            <w:pPr>
              <w:ind w:lef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2.乙方与其他方产生任何经济纠纷均与甲方无关。</w:t>
            </w:r>
            <w:r/>
          </w:p>
        </w:tc>
      </w:tr>
    </w:tbl>
    <w:p>
      <w:pPr>
        <w:pStyle w:val="807"/>
        <w:jc w:val="center"/>
        <w:keepLines/>
        <w:keepNext/>
        <w:pageBreakBefore w:val="0"/>
        <w:spacing w:before="181" w:after="181"/>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第四章 采购需求</w:t>
      </w:r>
      <w:r/>
    </w:p>
    <w:p>
      <w:pPr>
        <w:ind w:firstLine="482"/>
        <w:keepLines w:val="0"/>
        <w:keepNext w:val="0"/>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项目属性：货物类项目</w:t>
      </w:r>
      <w:r/>
    </w:p>
    <w:p>
      <w:pPr>
        <w:ind w:firstLine="482"/>
        <w:keepLines w:val="0"/>
        <w:keepNext w:val="0"/>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本项目采购标的对应的中小企业划分标准所属行业：</w:t>
      </w:r>
      <w:r>
        <w:rPr>
          <w:rFonts w:hint="eastAsia" w:ascii="宋体" w:hAnsi="宋体" w:eastAsia="宋体" w:cs="宋体"/>
          <w:b/>
          <w:bCs/>
          <w:color w:val="auto"/>
          <w:sz w:val="24"/>
          <w:szCs w:val="24"/>
          <w:highlight w:val="none"/>
          <w:u w:val="single"/>
        </w:rPr>
        <w:t xml:space="preserve">工业（制造业）</w:t>
      </w:r>
      <w:r/>
    </w:p>
    <w:p>
      <w:pPr>
        <w:ind w:firstLine="482"/>
        <w:keepLines w:val="0"/>
        <w:keepNext w:val="0"/>
        <w:pageBreakBefore w:val="0"/>
        <w:spacing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 不接受 </w:t>
      </w:r>
      <w:r>
        <w:rPr>
          <w:rFonts w:hint="eastAsia" w:ascii="宋体" w:hAnsi="宋体" w:eastAsia="宋体" w:cs="宋体"/>
          <w:b/>
          <w:bCs/>
          <w:color w:val="auto"/>
          <w:sz w:val="24"/>
          <w:szCs w:val="24"/>
          <w:highlight w:val="none"/>
        </w:rPr>
        <w:t xml:space="preserve">进口产品。</w:t>
      </w:r>
      <w:r/>
    </w:p>
    <w:p>
      <w:pPr>
        <w:pStyle w:val="1164"/>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pStyle w:val="1164"/>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1、项目名称：雪亮工程社会面联网项目（二标段）</w:t>
      </w:r>
      <w:r/>
    </w:p>
    <w:p>
      <w:pPr>
        <w:pStyle w:val="1164"/>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2、项目预算：53.228万元</w:t>
      </w:r>
      <w:r/>
    </w:p>
    <w:p>
      <w:pPr>
        <w:pStyle w:val="1164"/>
        <w:ind w:firstLine="480"/>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3、采购内容：71台移动警务终端及配套业务使用服务具体详见采购清单。</w:t>
      </w:r>
      <w:r/>
    </w:p>
    <w:p>
      <w:pPr>
        <w:pStyle w:val="1164"/>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4、合同履行期限：移动警务终端在合同签订后10日内交付；终端配套业务使用12个月。</w:t>
      </w:r>
      <w:r/>
    </w:p>
    <w:p>
      <w:pPr>
        <w:pStyle w:val="1164"/>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5、售后维保期：3年。</w:t>
      </w:r>
      <w:r/>
    </w:p>
    <w:p>
      <w:pPr>
        <w:pStyle w:val="1164"/>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6、实施地点：采购单位指定地点。</w:t>
      </w:r>
      <w:r/>
    </w:p>
    <w:p>
      <w:pPr>
        <w:pStyle w:val="1164"/>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7、质量要求：合格，符合国家、行业质量要求。</w:t>
      </w:r>
      <w:r/>
    </w:p>
    <w:p>
      <w:pPr>
        <w:pStyle w:val="1164"/>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资金支付的方式</w:t>
      </w:r>
      <w:r>
        <w:rPr>
          <w:rFonts w:hint="eastAsia" w:ascii="宋体" w:hAnsi="宋体" w:eastAsia="宋体" w:cs="宋体"/>
          <w:b w:val="0"/>
          <w:bCs w:val="0"/>
          <w:color w:val="auto"/>
          <w:sz w:val="24"/>
          <w:szCs w:val="24"/>
          <w:highlight w:val="none"/>
          <w:lang w:eastAsia="zh-CN"/>
        </w:rPr>
        <w:t xml:space="preserve">：</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预付款：签订</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后付合同价款的30%；</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进度款：</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移动警务终端</w:t>
      </w:r>
      <w:r>
        <w:rPr>
          <w:rFonts w:hint="eastAsia" w:ascii="宋体" w:hAnsi="宋体" w:cs="宋体"/>
          <w:color w:val="auto"/>
          <w:sz w:val="24"/>
          <w:szCs w:val="24"/>
          <w:highlight w:val="none"/>
          <w:lang w:val="en-US" w:eastAsia="zh-CN"/>
        </w:rPr>
        <w:t xml:space="preserve">主机</w:t>
      </w:r>
      <w:r>
        <w:rPr>
          <w:rFonts w:hint="eastAsia" w:ascii="宋体" w:hAnsi="宋体" w:eastAsia="宋体" w:cs="宋体"/>
          <w:color w:val="auto"/>
          <w:sz w:val="24"/>
          <w:szCs w:val="24"/>
          <w:highlight w:val="none"/>
        </w:rPr>
        <w:t xml:space="preserve">交付并试运行满30日，</w:t>
      </w:r>
      <w:r>
        <w:rPr>
          <w:rFonts w:hint="eastAsia" w:ascii="宋体" w:hAnsi="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验合格后付</w:t>
      </w:r>
      <w:r>
        <w:rPr>
          <w:rFonts w:hint="eastAsia" w:ascii="宋体" w:hAnsi="宋体" w:cs="宋体"/>
          <w:color w:val="auto"/>
          <w:sz w:val="24"/>
          <w:szCs w:val="24"/>
          <w:highlight w:val="none"/>
          <w:lang w:val="en-US" w:eastAsia="zh-CN"/>
        </w:rPr>
        <w:t xml:space="preserve">至合同金额的90%</w:t>
      </w:r>
      <w:r>
        <w:rPr>
          <w:rFonts w:hint="eastAsia" w:ascii="宋体" w:hAnsi="宋体" w:eastAsia="宋体" w:cs="宋体"/>
          <w:color w:val="auto"/>
          <w:sz w:val="24"/>
          <w:szCs w:val="24"/>
          <w:highlight w:val="none"/>
        </w:rPr>
        <w:t xml:space="preserve">；终端配套业务</w:t>
      </w:r>
      <w:r>
        <w:rPr>
          <w:rFonts w:hint="eastAsia" w:ascii="宋体" w:hAnsi="宋体" w:cs="宋体"/>
          <w:color w:val="auto"/>
          <w:sz w:val="24"/>
          <w:szCs w:val="24"/>
          <w:highlight w:val="none"/>
          <w:lang w:val="en-US" w:eastAsia="zh-CN"/>
        </w:rPr>
        <w:t xml:space="preserve">服务期（12个月）满后，项目终验合格，付至结算价的100%。</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（1）可以采用数字人民币支付；</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（2）资金支付的时间：收到供应商发票10个工作日内；</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（3）资金支付的条件：满足相应阶段的要求且收到供应商发票；</w:t>
      </w:r>
      <w:r/>
    </w:p>
    <w:p>
      <w:pPr>
        <w:pStyle w:val="1164"/>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（4）在签订合同时，供应商明确表示无需预付款或者主动要求降低预付款比例的，采购人可不适用前述规定。</w:t>
      </w:r>
      <w:r/>
    </w:p>
    <w:p>
      <w:pPr>
        <w:pStyle w:val="1164"/>
        <w:numPr>
          <w:ilvl w:val="0"/>
          <w:numId w:val="0"/>
        </w:numPr>
        <w:ind w:firstLine="482"/>
        <w:jc w:val="left"/>
        <w:keepLines w:val="0"/>
        <w:keepNext w:val="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w:t>
      </w:r>
      <w:r>
        <w:rPr>
          <w:rFonts w:hint="eastAsia" w:ascii="宋体" w:hAnsi="宋体" w:eastAsia="宋体" w:cs="宋体"/>
          <w:b/>
          <w:bCs/>
          <w:color w:val="auto"/>
          <w:sz w:val="24"/>
          <w:szCs w:val="24"/>
          <w:highlight w:val="none"/>
        </w:rPr>
        <w:t xml:space="preserve">清单</w:t>
      </w:r>
      <w:r>
        <w:rPr>
          <w:rFonts w:hint="eastAsia" w:ascii="宋体" w:hAnsi="宋体" w:eastAsia="宋体" w:cs="宋体"/>
          <w:b/>
          <w:bCs/>
          <w:color w:val="auto"/>
          <w:sz w:val="24"/>
          <w:szCs w:val="24"/>
          <w:highlight w:val="none"/>
          <w:lang w:val="en-US" w:eastAsia="zh-CN"/>
        </w:rPr>
        <w:t xml:space="preserve">及技术要求</w:t>
      </w:r>
      <w:r/>
    </w:p>
    <w:p>
      <w:pPr>
        <w:pStyle w:val="1212"/>
        <w:ind w:firstLine="482"/>
        <w:keepLines w:val="0"/>
        <w:keepNext w:val="0"/>
        <w:pageBreakBefore w:val="0"/>
        <w:widowControl w:val="off"/>
        <w:rPr>
          <w:rFonts w:hint="default"/>
          <w:color w:val="auto"/>
          <w:highlight w:val="none"/>
          <w:lang w:val="en-US" w:eastAsia="zh-CN"/>
        </w:rPr>
      </w:pPr>
      <w:r>
        <w:rPr>
          <w:rFonts w:hint="eastAsia" w:ascii="宋体" w:hAnsi="宋体" w:eastAsia="宋体" w:cs="宋体"/>
          <w:b/>
          <w:bCs/>
          <w:color w:val="auto"/>
          <w:sz w:val="24"/>
          <w:szCs w:val="24"/>
          <w:highlight w:val="none"/>
          <w:lang w:val="en-US" w:eastAsia="zh-CN"/>
        </w:rPr>
        <w:t xml:space="preserve">（1）采购清单</w:t>
      </w:r>
      <w:r/>
    </w:p>
    <w:tbl>
      <w:tblPr>
        <w:tblStyle w:val="817"/>
        <w:tblW w:w="9465" w:type="dxa"/>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733"/>
        <w:gridCol w:w="6155"/>
        <w:gridCol w:w="848"/>
        <w:gridCol w:w="990"/>
      </w:tblGrid>
      <w:tr>
        <w:trPr>
          <w:trHeight w:val="33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ind w:firstLine="0"/>
              <w:jc w:val="center"/>
              <w:keepLines w:val="0"/>
              <w:keepNext w:val="0"/>
              <w:pageBreakBefore w:val="0"/>
              <w:spacing w:line="360" w:lineRule="exact"/>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40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移动警务终端</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numPr>
                <w:ilvl w:val="0"/>
                <w:numId w:val="0"/>
              </w:numPr>
              <w:ind w:firstLine="0"/>
              <w:jc w:val="left"/>
              <w:keepLines w:val="0"/>
              <w:keepNext w:val="0"/>
              <w:pageBreakBefore w:val="0"/>
              <w:spacing w:line="360" w:lineRule="exact"/>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lang w:val="en-US" w:eastAsia="zh-CN" w:bidi="ar"/>
              </w:rPr>
              <w:t xml:space="preserve">A、</w:t>
            </w:r>
            <w:r>
              <w:rPr>
                <w:rFonts w:hint="eastAsia" w:ascii="宋体" w:hAnsi="宋体" w:cs="宋体"/>
                <w:i w:val="0"/>
                <w:iCs w:val="0"/>
                <w:color w:val="auto"/>
                <w:sz w:val="24"/>
                <w:szCs w:val="24"/>
                <w:highlight w:val="none"/>
                <w:u w:val="none"/>
                <w:lang w:val="en-US" w:eastAsia="zh-CN" w:bidi="ar"/>
              </w:rPr>
              <w:t xml:space="preserve">移动终端专用加密通道授权卡71张，公安专用定制；</w:t>
            </w:r>
            <w:r/>
          </w:p>
          <w:p>
            <w:pPr>
              <w:numPr>
                <w:ilvl w:val="0"/>
                <w:numId w:val="0"/>
              </w:numPr>
              <w:ind w:firstLine="0"/>
              <w:jc w:val="left"/>
              <w:keepLines w:val="0"/>
              <w:keepNext w:val="0"/>
              <w:pageBreakBefore w:val="0"/>
              <w:spacing w:line="360" w:lineRule="exact"/>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w:t>
            </w:r>
            <w:r>
              <w:rPr>
                <w:rFonts w:hint="default" w:ascii="宋体" w:hAnsi="宋体" w:eastAsia="宋体" w:cs="宋体"/>
                <w:i w:val="0"/>
                <w:iCs w:val="0"/>
                <w:color w:val="auto"/>
                <w:sz w:val="24"/>
                <w:szCs w:val="24"/>
                <w:highlight w:val="none"/>
                <w:lang w:val="en-US" w:eastAsia="zh-CN" w:bidi="ar"/>
              </w:rPr>
              <w:t xml:space="preserve">B、</w:t>
            </w:r>
            <w:r>
              <w:rPr>
                <w:rFonts w:hint="eastAsia" w:ascii="宋体" w:hAnsi="宋体" w:cs="宋体"/>
                <w:i w:val="0"/>
                <w:iCs w:val="0"/>
                <w:color w:val="auto"/>
                <w:sz w:val="24"/>
                <w:szCs w:val="24"/>
                <w:highlight w:val="none"/>
                <w:u w:val="none"/>
                <w:lang w:val="en-US" w:eastAsia="zh-CN" w:bidi="ar"/>
              </w:rPr>
              <w:t xml:space="preserve">终端配套加密卡服务包（12个月）:</w:t>
            </w:r>
            <w:r/>
          </w:p>
          <w:p>
            <w:pPr>
              <w:numPr>
                <w:ilvl w:val="0"/>
                <w:numId w:val="10"/>
              </w:numPr>
              <w:jc w:val="left"/>
              <w:keepLines w:val="0"/>
              <w:keepNext w:val="0"/>
              <w:pageBreakBefore w:val="0"/>
              <w:spacing w:line="360" w:lineRule="exact"/>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每个月≥100G流量；2000分钟通话、集团通话1500分钟免费，500条短信和视频彩铃；</w:t>
            </w:r>
            <w:r/>
          </w:p>
          <w:p>
            <w:pPr>
              <w:numPr>
                <w:ilvl w:val="0"/>
                <w:numId w:val="10"/>
              </w:numPr>
              <w:jc w:val="left"/>
              <w:keepLines w:val="0"/>
              <w:keepNext w:val="0"/>
              <w:pageBreakBefore w:val="0"/>
              <w:spacing w:line="360" w:lineRule="exact"/>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备卡：13张；</w:t>
            </w:r>
            <w:r/>
          </w:p>
          <w:p>
            <w:pPr>
              <w:numPr>
                <w:ilvl w:val="0"/>
                <w:numId w:val="0"/>
              </w:numPr>
              <w:ind w:left="0" w:firstLine="0"/>
              <w:jc w:val="left"/>
              <w:keepLines w:val="0"/>
              <w:keepNext w:val="0"/>
              <w:pageBreakBefore w:val="0"/>
              <w:spacing w:line="360" w:lineRule="exact"/>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C、</w:t>
            </w:r>
            <w:r>
              <w:rPr>
                <w:rFonts w:hint="eastAsia" w:ascii="宋体" w:hAnsi="宋体" w:cs="宋体"/>
                <w:i w:val="0"/>
                <w:iCs w:val="0"/>
                <w:color w:val="auto"/>
                <w:sz w:val="24"/>
                <w:szCs w:val="24"/>
                <w:highlight w:val="none"/>
                <w:u w:val="none"/>
                <w:lang w:val="en-US" w:eastAsia="zh-CN" w:bidi="ar"/>
              </w:rPr>
              <w:t xml:space="preserve">警务终端主机71台：</w:t>
            </w:r>
            <w:r/>
          </w:p>
          <w:p>
            <w:pPr>
              <w:numPr>
                <w:ilvl w:val="0"/>
                <w:numId w:val="0"/>
              </w:numPr>
              <w:ind w:left="0"/>
              <w:jc w:val="left"/>
              <w:keepLines w:val="0"/>
              <w:keepNext w:val="0"/>
              <w:pageBreakBefore w:val="0"/>
              <w:spacing w:line="360" w:lineRule="exact"/>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应符合GA/T 1466.1-2018,GA/T 1466.2-2018系列标准，提供公安部检测报告；</w:t>
            </w:r>
            <w:r>
              <w:rPr>
                <w:rFonts w:hint="eastAsia" w:ascii="宋体" w:hAnsi="宋体" w:cs="宋体"/>
                <w:b/>
                <w:bCs/>
                <w:i w:val="0"/>
                <w:iCs w:val="0"/>
                <w:color w:val="auto"/>
                <w:sz w:val="24"/>
                <w:szCs w:val="24"/>
                <w:highlight w:val="none"/>
                <w:u w:val="none"/>
                <w:lang w:val="en-US" w:eastAsia="zh-CN" w:bidi="ar"/>
              </w:rPr>
              <w:t xml:space="preserve">（提供证明资料电子扫描件）</w:t>
            </w:r>
            <w:r/>
          </w:p>
          <w:p>
            <w:pPr>
              <w:numPr>
                <w:ilvl w:val="0"/>
                <w:numId w:val="0"/>
              </w:numPr>
              <w:ind w:left="0"/>
              <w:jc w:val="left"/>
              <w:keepLines w:val="0"/>
              <w:keepNext w:val="0"/>
              <w:pageBreakBefore w:val="0"/>
              <w:spacing w:line="360" w:lineRule="exact"/>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2、</w:t>
            </w:r>
            <w:r>
              <w:rPr>
                <w:rFonts w:hint="eastAsia" w:ascii="宋体" w:hAnsi="宋体" w:cs="宋体"/>
                <w:b w:val="0"/>
                <w:bCs w:val="0"/>
                <w:i w:val="0"/>
                <w:iCs w:val="0"/>
                <w:color w:val="auto"/>
                <w:sz w:val="24"/>
                <w:szCs w:val="24"/>
                <w:highlight w:val="none"/>
                <w:u w:val="none"/>
                <w:lang w:val="en-US" w:eastAsia="zh-CN" w:bidi="ar"/>
              </w:rPr>
              <w:t xml:space="preserve">技术指标如下：</w:t>
            </w:r>
            <w:r/>
          </w:p>
          <w:p>
            <w:pPr>
              <w:ind w:firstLine="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#（1）颜色：黑色；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重量：约209g（含电池）；电池：＞</w:t>
            </w:r>
            <w:r>
              <w:rPr>
                <w:rFonts w:hint="eastAsia" w:ascii="宋体" w:hAnsi="宋体" w:cs="宋体"/>
                <w:i w:val="0"/>
                <w:iCs w:val="0"/>
                <w:color w:val="auto"/>
                <w:sz w:val="24"/>
                <w:szCs w:val="24"/>
                <w:highlight w:val="none"/>
                <w:u w:val="none"/>
                <w:lang w:val="en-US" w:eastAsia="zh-CN" w:bidi="ar"/>
              </w:rPr>
              <w:t xml:space="preserve">4500</w:t>
            </w:r>
            <w:r>
              <w:rPr>
                <w:rFonts w:hint="eastAsia" w:ascii="宋体" w:hAnsi="宋体" w:eastAsia="宋体" w:cs="宋体"/>
                <w:i w:val="0"/>
                <w:iCs w:val="0"/>
                <w:color w:val="auto"/>
                <w:sz w:val="24"/>
                <w:szCs w:val="24"/>
                <w:highlight w:val="none"/>
                <w:u w:val="none"/>
                <w:lang w:val="en-US" w:eastAsia="zh-CN" w:bidi="ar"/>
              </w:rPr>
              <w:t xml:space="preserve">mAh；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屏幕：尺寸 ≥</w:t>
            </w:r>
            <w:r>
              <w:rPr>
                <w:rFonts w:hint="eastAsia" w:ascii="宋体" w:hAnsi="宋体" w:cs="宋体"/>
                <w:i w:val="0"/>
                <w:iCs w:val="0"/>
                <w:color w:val="auto"/>
                <w:sz w:val="24"/>
                <w:szCs w:val="24"/>
                <w:highlight w:val="none"/>
                <w:u w:val="none"/>
                <w:lang w:val="en-US" w:eastAsia="zh-CN" w:bidi="ar"/>
              </w:rPr>
              <w:t xml:space="preserve">6.5</w:t>
            </w:r>
            <w:r>
              <w:rPr>
                <w:rFonts w:hint="eastAsia" w:ascii="宋体" w:hAnsi="宋体" w:eastAsia="宋体" w:cs="宋体"/>
                <w:i w:val="0"/>
                <w:iCs w:val="0"/>
                <w:color w:val="auto"/>
                <w:sz w:val="24"/>
                <w:szCs w:val="24"/>
                <w:highlight w:val="none"/>
                <w:u w:val="none"/>
                <w:lang w:val="en-US" w:eastAsia="zh-CN" w:bidi="ar"/>
              </w:rPr>
              <w:t xml:space="preserve">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色彩：10.7亿色，P3广色域；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类型：OLED, 最高支持120Hz刷新率、1440Hz高频PWM调光、300Hz触控采样率；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分辨率： FHD+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操作系统：鸿蒙4.0+；警鸿2.0+；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存储：机身内存 12+256</w:t>
            </w:r>
            <w:r>
              <w:rPr>
                <w:rFonts w:hint="eastAsia" w:ascii="宋体" w:hAnsi="宋体" w:cs="宋体"/>
                <w:i w:val="0"/>
                <w:iCs w:val="0"/>
                <w:color w:val="auto"/>
                <w:sz w:val="24"/>
                <w:szCs w:val="24"/>
                <w:highlight w:val="none"/>
                <w:u w:val="none"/>
                <w:lang w:val="en-US" w:eastAsia="zh-CN" w:bidi="ar"/>
              </w:rPr>
              <w:t xml:space="preserve">GB</w:t>
            </w:r>
            <w:r>
              <w:rPr>
                <w:rFonts w:hint="eastAsia" w:ascii="宋体" w:hAnsi="宋体" w:eastAsia="宋体" w:cs="宋体"/>
                <w:i w:val="0"/>
                <w:iCs w:val="0"/>
                <w:color w:val="auto"/>
                <w:sz w:val="24"/>
                <w:szCs w:val="24"/>
                <w:highlight w:val="none"/>
                <w:u w:val="none"/>
                <w:lang w:val="en-US" w:eastAsia="zh-CN" w:bidi="ar"/>
              </w:rPr>
              <w:t xml:space="preserve">；</w:t>
            </w:r>
            <w:r/>
          </w:p>
          <w:p>
            <w:pPr>
              <w:ind w:firstLine="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扩展存储：NM 存储卡，最</w:t>
            </w:r>
            <w:r>
              <w:rPr>
                <w:rFonts w:hint="eastAsia" w:ascii="宋体" w:hAnsi="宋体" w:cs="宋体"/>
                <w:i w:val="0"/>
                <w:iCs w:val="0"/>
                <w:color w:val="auto"/>
                <w:sz w:val="24"/>
                <w:szCs w:val="24"/>
                <w:highlight w:val="none"/>
                <w:u w:val="none"/>
                <w:lang w:val="en-US" w:eastAsia="zh-CN" w:bidi="ar"/>
              </w:rPr>
              <w:t xml:space="preserve">小</w:t>
            </w:r>
            <w:r>
              <w:rPr>
                <w:rFonts w:hint="eastAsia" w:ascii="宋体" w:hAnsi="宋体" w:eastAsia="宋体" w:cs="宋体"/>
                <w:i w:val="0"/>
                <w:iCs w:val="0"/>
                <w:color w:val="auto"/>
                <w:sz w:val="24"/>
                <w:szCs w:val="24"/>
                <w:highlight w:val="none"/>
                <w:u w:val="none"/>
                <w:lang w:val="en-US" w:eastAsia="zh-CN" w:bidi="ar"/>
              </w:rPr>
              <w:t xml:space="preserve">支持 256 GB；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后摄指标：5000万像素超光变摄像头（f/1.4~f/4.0光圈，支持OIS光学防抖），1200万像素超广角摄像头（f/2.2光圈），1200万像素潜望式长焦摄像头（f/3.4光圈，支持OIS光学防抖）；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变焦：支持5倍光学变焦，50倍数字变焦；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防抖：OIS光学防抖；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（13）</w:t>
            </w:r>
            <w:r>
              <w:rPr>
                <w:rFonts w:hint="eastAsia" w:ascii="宋体" w:hAnsi="宋体" w:eastAsia="宋体" w:cs="宋体"/>
                <w:i w:val="0"/>
                <w:iCs w:val="0"/>
                <w:color w:val="auto"/>
                <w:sz w:val="24"/>
                <w:szCs w:val="24"/>
                <w:highlight w:val="none"/>
                <w:u w:val="none"/>
                <w:lang w:val="en-US" w:eastAsia="zh-CN" w:bidi="ar"/>
              </w:rPr>
              <w:t xml:space="preserve">照片分辨率：最大可支持 8192 × 6144像素；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摄像分辨率：最大支持4K（3840×2160）视频录制，支持AIS视频防抖；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前摄指标：1300万像素超广角摄像头（f/2.4光圈）；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照片分辨率：最大可支持 4160 × 3120像素；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（17）</w:t>
            </w:r>
            <w:r>
              <w:rPr>
                <w:rFonts w:hint="eastAsia" w:ascii="宋体" w:hAnsi="宋体" w:eastAsia="宋体" w:cs="宋体"/>
                <w:i w:val="0"/>
                <w:iCs w:val="0"/>
                <w:color w:val="auto"/>
                <w:sz w:val="24"/>
                <w:szCs w:val="24"/>
                <w:highlight w:val="none"/>
                <w:u w:val="none"/>
                <w:lang w:val="en-US" w:eastAsia="zh-CN" w:bidi="ar"/>
              </w:rPr>
              <w:t xml:space="preserve">摄像分辨率：最大可支持 3840 × 2160像素；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（18）</w:t>
            </w:r>
            <w:r>
              <w:rPr>
                <w:rFonts w:hint="eastAsia" w:ascii="宋体" w:hAnsi="宋体" w:eastAsia="宋体" w:cs="宋体"/>
                <w:i w:val="0"/>
                <w:iCs w:val="0"/>
                <w:color w:val="auto"/>
                <w:sz w:val="24"/>
                <w:szCs w:val="24"/>
                <w:highlight w:val="none"/>
                <w:u w:val="none"/>
                <w:lang w:val="en-US" w:eastAsia="zh-CN" w:bidi="ar"/>
              </w:rPr>
              <w:t xml:space="preserve">充电：有线充电 66W</w:t>
            </w:r>
            <w:r>
              <w:rPr>
                <w:rFonts w:hint="eastAsia" w:ascii="宋体" w:hAnsi="宋体" w:cs="宋体"/>
                <w:i w:val="0"/>
                <w:iCs w:val="0"/>
                <w:color w:val="auto"/>
                <w:sz w:val="24"/>
                <w:szCs w:val="24"/>
                <w:highlight w:val="none"/>
                <w:u w:val="none"/>
                <w:lang w:val="en-US" w:eastAsia="zh-CN" w:bidi="ar"/>
              </w:rPr>
              <w:t xml:space="preserve">及以上</w:t>
            </w:r>
            <w:r>
              <w:rPr>
                <w:rFonts w:hint="eastAsia" w:ascii="宋体" w:hAnsi="宋体" w:eastAsia="宋体" w:cs="宋体"/>
                <w:i w:val="0"/>
                <w:iCs w:val="0"/>
                <w:color w:val="auto"/>
                <w:sz w:val="24"/>
                <w:szCs w:val="24"/>
                <w:highlight w:val="none"/>
                <w:u w:val="none"/>
                <w:lang w:val="en-US" w:eastAsia="zh-CN" w:bidi="ar"/>
              </w:rPr>
              <w:t xml:space="preserve">超级快充；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（19）</w:t>
            </w:r>
            <w:r>
              <w:rPr>
                <w:rFonts w:hint="eastAsia" w:ascii="宋体" w:hAnsi="宋体" w:eastAsia="宋体" w:cs="宋体"/>
                <w:i w:val="0"/>
                <w:iCs w:val="0"/>
                <w:color w:val="auto"/>
                <w:sz w:val="24"/>
                <w:szCs w:val="24"/>
                <w:highlight w:val="none"/>
                <w:u w:val="none"/>
                <w:lang w:val="en-US" w:eastAsia="zh-CN" w:bidi="ar"/>
              </w:rPr>
              <w:t xml:space="preserve">无线充电：支持50W无线超级快充，支持无线反向充电；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（20）</w:t>
            </w:r>
            <w:r>
              <w:rPr>
                <w:rFonts w:hint="eastAsia" w:ascii="宋体" w:hAnsi="宋体" w:eastAsia="宋体" w:cs="宋体"/>
                <w:i w:val="0"/>
                <w:iCs w:val="0"/>
                <w:color w:val="auto"/>
                <w:sz w:val="24"/>
                <w:szCs w:val="24"/>
                <w:highlight w:val="none"/>
                <w:u w:val="none"/>
                <w:lang w:val="en-US" w:eastAsia="zh-CN" w:bidi="ar"/>
              </w:rPr>
              <w:t xml:space="preserve">防尘抗水：IP68（4米水深）；</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bl>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技术参数要求</w:t>
      </w:r>
      <w:r/>
    </w:p>
    <w:p>
      <w:pPr>
        <w:pStyle w:val="1127"/>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、标注“</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”号标记为</w:t>
      </w:r>
      <w:r>
        <w:rPr>
          <w:rFonts w:hint="eastAsia" w:ascii="宋体" w:hAnsi="宋体" w:cs="宋体"/>
          <w:b w:val="0"/>
          <w:bCs w:val="0"/>
          <w:color w:val="auto"/>
          <w:sz w:val="24"/>
          <w:highlight w:val="none"/>
          <w:lang w:eastAsia="zh-CN"/>
        </w:rPr>
        <w:t xml:space="preserve">其他</w:t>
      </w:r>
      <w:r>
        <w:rPr>
          <w:rFonts w:hint="eastAsia" w:ascii="宋体" w:hAnsi="宋体" w:eastAsia="宋体" w:cs="宋体"/>
          <w:b w:val="0"/>
          <w:bCs w:val="0"/>
          <w:color w:val="auto"/>
          <w:sz w:val="24"/>
          <w:highlight w:val="none"/>
        </w:rPr>
        <w:t xml:space="preserve">参数，共计</w:t>
      </w:r>
      <w:r>
        <w:rPr>
          <w:rFonts w:hint="eastAsia" w:ascii="宋体" w:hAnsi="宋体" w:cs="宋体"/>
          <w:b w:val="0"/>
          <w:bCs w:val="0"/>
          <w:color w:val="auto"/>
          <w:sz w:val="24"/>
          <w:highlight w:val="none"/>
          <w:u w:val="single"/>
          <w:lang w:val="en-US" w:eastAsia="zh-CN"/>
        </w:rPr>
        <w:t xml:space="preserve">22</w:t>
      </w:r>
      <w:r>
        <w:rPr>
          <w:rFonts w:hint="eastAsia" w:ascii="宋体" w:hAnsi="宋体" w:eastAsia="宋体" w:cs="宋体"/>
          <w:b w:val="0"/>
          <w:bCs w:val="0"/>
          <w:color w:val="auto"/>
          <w:sz w:val="24"/>
          <w:highlight w:val="none"/>
        </w:rPr>
        <w:t xml:space="preserve">条，无响应或无效响应或不满足</w:t>
      </w:r>
      <w:r>
        <w:rPr>
          <w:rFonts w:hint="eastAsia" w:ascii="宋体" w:hAnsi="宋体" w:cs="宋体"/>
          <w:b w:val="0"/>
          <w:bCs w:val="0"/>
          <w:color w:val="auto"/>
          <w:sz w:val="24"/>
          <w:highlight w:val="none"/>
          <w:lang w:val="en-US" w:eastAsia="zh-CN"/>
        </w:rPr>
        <w:t xml:space="preserve">扣分处理</w:t>
      </w:r>
      <w:r>
        <w:rPr>
          <w:rFonts w:hint="eastAsia" w:ascii="宋体" w:hAnsi="宋体" w:eastAsia="宋体" w:cs="宋体"/>
          <w:b w:val="0"/>
          <w:bCs w:val="0"/>
          <w:color w:val="auto"/>
          <w:sz w:val="24"/>
          <w:highlight w:val="none"/>
        </w:rPr>
        <w:t xml:space="preserve">。</w:t>
      </w:r>
      <w:r/>
    </w:p>
    <w:p>
      <w:pPr>
        <w:pStyle w:val="1127"/>
        <w:ind w:firstLine="480"/>
        <w:keepLines w:val="0"/>
        <w:keepNext w:val="0"/>
        <w:pageBreakBefore w:val="0"/>
        <w:spacing w:line="48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2、标注“▲”号标记为重要参数，共计</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lang w:val="en-US" w:eastAsia="zh-CN"/>
        </w:rPr>
        <w:t xml:space="preserve">条，无响应或无效响应或不满足扣分处理。</w:t>
      </w:r>
      <w:r/>
    </w:p>
    <w:p>
      <w:pPr>
        <w:pStyle w:val="1127"/>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、投标人需详尽</w:t>
      </w:r>
      <w:r>
        <w:rPr>
          <w:rFonts w:hint="eastAsia" w:ascii="宋体" w:hAnsi="宋体" w:cs="宋体"/>
          <w:b w:val="0"/>
          <w:bCs w:val="0"/>
          <w:color w:val="auto"/>
          <w:sz w:val="24"/>
          <w:highlight w:val="none"/>
          <w:lang w:val="en-US" w:eastAsia="zh-CN"/>
        </w:rPr>
        <w:t xml:space="preserve">真实地</w:t>
      </w:r>
      <w:r>
        <w:rPr>
          <w:rFonts w:hint="eastAsia" w:ascii="宋体" w:hAnsi="宋体" w:eastAsia="宋体" w:cs="宋体"/>
          <w:b w:val="0"/>
          <w:bCs w:val="0"/>
          <w:color w:val="auto"/>
          <w:sz w:val="24"/>
          <w:highlight w:val="none"/>
          <w:lang w:val="en-US" w:eastAsia="zh-CN"/>
        </w:rPr>
        <w:t xml:space="preserve">提</w:t>
      </w:r>
      <w:r>
        <w:rPr>
          <w:rFonts w:hint="eastAsia" w:ascii="宋体" w:hAnsi="宋体" w:eastAsia="宋体" w:cs="宋体"/>
          <w:b w:val="0"/>
          <w:bCs w:val="0"/>
          <w:color w:val="auto"/>
          <w:sz w:val="24"/>
          <w:highlight w:val="none"/>
        </w:rPr>
        <w:t xml:space="preserve">供投标产品的技术要求响应及偏离表，且均需在技术要求响应及偏离表内详尽</w:t>
      </w:r>
      <w:r>
        <w:rPr>
          <w:rFonts w:hint="eastAsia" w:ascii="宋体" w:hAnsi="宋体" w:cs="宋体"/>
          <w:b w:val="0"/>
          <w:bCs w:val="0"/>
          <w:color w:val="auto"/>
          <w:sz w:val="24"/>
          <w:highlight w:val="none"/>
          <w:lang w:eastAsia="zh-CN"/>
        </w:rPr>
        <w:t xml:space="preserve">真实地</w:t>
      </w:r>
      <w:r>
        <w:rPr>
          <w:rFonts w:hint="eastAsia" w:ascii="宋体" w:hAnsi="宋体" w:eastAsia="宋体" w:cs="宋体"/>
          <w:b w:val="0"/>
          <w:bCs w:val="0"/>
          <w:color w:val="auto"/>
          <w:sz w:val="24"/>
          <w:highlight w:val="none"/>
        </w:rPr>
        <w:t xml:space="preserve">提供偏差情况，否则将视为无响应或无效响应；未按指定要求提供相关技术资料证明材料，将视为无效响应。</w:t>
      </w:r>
      <w:r/>
    </w:p>
    <w:p>
      <w:pPr>
        <w:numPr>
          <w:ilvl w:val="0"/>
          <w:numId w:val="0"/>
        </w:numPr>
        <w:ind w:firstLine="480"/>
        <w:keepLines w:val="0"/>
        <w:keepNext w:val="0"/>
        <w:pageBreakBefore w:val="0"/>
        <w:spacing w:line="440" w:lineRule="exact"/>
        <w:widowControl w:val="off"/>
        <w:rPr>
          <w:rFonts w:hint="eastAsia"/>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除辅助材料和设备（含以施工为主的条目、标明为定制的设备）之外的其它应该标明品牌和规格型号的设备，在响应文件中必须标明设备的品牌和规格型号，否则按无效标处理。</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w:t>
      </w:r>
      <w:r>
        <w:rPr>
          <w:rFonts w:hint="eastAsia" w:ascii="宋体" w:hAnsi="宋体" w:eastAsia="宋体" w:cs="宋体"/>
          <w:b/>
          <w:bCs/>
          <w:color w:val="auto"/>
          <w:sz w:val="24"/>
          <w:szCs w:val="24"/>
          <w:highlight w:val="none"/>
          <w:lang w:val="en-US" w:eastAsia="zh-CN"/>
        </w:rPr>
        <w:t xml:space="preserve">方案</w:t>
      </w:r>
      <w:r/>
    </w:p>
    <w:p>
      <w:pPr>
        <w:ind w:firstLine="480"/>
        <w:keepLines w:val="0"/>
        <w:keepNext w:val="0"/>
        <w:pageBreakBefore w:val="0"/>
        <w:spacing w:line="480" w:lineRule="exact"/>
        <w:widowControl w:val="off"/>
        <w:rPr>
          <w:rStyle w:val="1197"/>
          <w:rFonts w:hint="default" w:ascii="宋体" w:hAnsi="宋体" w:eastAsia="宋体" w:cs="宋体"/>
          <w:b w:val="0"/>
          <w:bCs w:val="0"/>
          <w:color w:val="auto"/>
          <w:sz w:val="24"/>
          <w:szCs w:val="24"/>
          <w:highlight w:val="none"/>
          <w:lang w:val="en-US" w:eastAsia="zh-CN" w:bidi="ar"/>
        </w:rPr>
      </w:pPr>
      <w:r>
        <w:rPr>
          <w:rStyle w:val="1197"/>
          <w:rFonts w:hint="eastAsia" w:ascii="宋体" w:hAnsi="宋体" w:cs="宋体"/>
          <w:b w:val="0"/>
          <w:bCs w:val="0"/>
          <w:color w:val="auto"/>
          <w:sz w:val="24"/>
          <w:szCs w:val="24"/>
          <w:highlight w:val="none"/>
          <w:lang w:val="en-US" w:eastAsia="zh-CN" w:bidi="ar"/>
        </w:rPr>
        <w:t xml:space="preserve">（1）进度安排</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Style w:val="1197"/>
          <w:rFonts w:hint="eastAsia" w:ascii="宋体" w:hAnsi="宋体" w:cs="宋体"/>
          <w:b w:val="0"/>
          <w:bCs w:val="0"/>
          <w:color w:val="auto"/>
          <w:sz w:val="24"/>
          <w:szCs w:val="24"/>
          <w:highlight w:val="none"/>
          <w:lang w:val="en-US" w:eastAsia="zh-CN" w:bidi="ar"/>
        </w:rPr>
        <w:t xml:space="preserve">1.1</w:t>
      </w:r>
      <w:r>
        <w:rPr>
          <w:rStyle w:val="1197"/>
          <w:rFonts w:hint="eastAsia" w:ascii="宋体" w:hAnsi="宋体" w:eastAsia="宋体" w:cs="宋体"/>
          <w:b w:val="0"/>
          <w:bCs w:val="0"/>
          <w:color w:val="auto"/>
          <w:sz w:val="24"/>
          <w:szCs w:val="24"/>
          <w:highlight w:val="none"/>
          <w:lang w:val="en-US" w:eastAsia="zh-CN" w:bidi="ar"/>
        </w:rPr>
        <w:t xml:space="preserve">投标人针对本项目提供详细的</w:t>
      </w:r>
      <w:r>
        <w:rPr>
          <w:rFonts w:hint="eastAsia" w:ascii="宋体" w:hAnsi="宋体" w:eastAsia="宋体" w:cs="宋体"/>
          <w:b w:val="0"/>
          <w:bCs w:val="0"/>
          <w:color w:val="auto"/>
          <w:sz w:val="24"/>
          <w:szCs w:val="24"/>
          <w:highlight w:val="none"/>
          <w:lang w:val="en-US" w:eastAsia="zh-CN"/>
        </w:rPr>
        <w:t xml:space="preserve">进度安排，有明确的时间节点和进度计划，展示项目各阶段的起止时间、关键过程等。</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val="en-US" w:eastAsia="zh-CN"/>
        </w:rPr>
        <w:t xml:space="preserve">内容包括但不限于：确定本项目采购所有产品的数量、设定时间节点，实时跟踪项目进度，确保各阶段按计划进行等。同时投标人应提前考虑并做好风险预防、应对措施，以确保按期、保质保量</w:t>
      </w:r>
      <w:r>
        <w:rPr>
          <w:rFonts w:hint="eastAsia" w:ascii="宋体" w:hAnsi="宋体" w:cs="宋体"/>
          <w:b w:val="0"/>
          <w:bCs w:val="0"/>
          <w:color w:val="auto"/>
          <w:sz w:val="24"/>
          <w:szCs w:val="24"/>
          <w:highlight w:val="none"/>
          <w:lang w:val="en-US" w:eastAsia="zh-CN"/>
        </w:rPr>
        <w:t xml:space="preserve">地</w:t>
      </w:r>
      <w:r>
        <w:rPr>
          <w:rFonts w:hint="eastAsia" w:ascii="宋体" w:hAnsi="宋体" w:eastAsia="宋体" w:cs="宋体"/>
          <w:b w:val="0"/>
          <w:bCs w:val="0"/>
          <w:color w:val="auto"/>
          <w:sz w:val="24"/>
          <w:szCs w:val="24"/>
          <w:highlight w:val="none"/>
          <w:lang w:val="en-US" w:eastAsia="zh-CN"/>
        </w:rPr>
        <w:t xml:space="preserve">将本项目采购的所有产品在采购人要求的供货时间内送至采购人指定地点等。</w:t>
      </w:r>
      <w:r/>
    </w:p>
    <w:p>
      <w:pPr>
        <w:numPr>
          <w:ilvl w:val="0"/>
          <w:numId w:val="11"/>
        </w:numPr>
        <w:ind w:left="0" w:firstLine="480"/>
        <w:keepLines w:val="0"/>
        <w:keepNext w:val="0"/>
        <w:pageBreakBefore w:val="0"/>
        <w:spacing w:line="48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质量保证</w:t>
      </w:r>
      <w:r/>
    </w:p>
    <w:p>
      <w:pPr>
        <w:ind w:firstLine="480"/>
        <w:keepLines w:val="0"/>
        <w:keepNext w:val="0"/>
        <w:pageBreakBefore w:val="0"/>
        <w:spacing w:line="48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2.1投标人针对本项目提供详细质量保障措施，内容包括但不限于：质量保证体系、质量方针和目标、质量管理措施、质量控制措施等。</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应急服务要求</w:t>
      </w:r>
      <w:r/>
    </w:p>
    <w:p>
      <w:pPr>
        <w:ind w:firstLine="480"/>
        <w:keepLines w:val="0"/>
        <w:keepNext w:val="0"/>
        <w:pageBreakBefore w:val="0"/>
        <w:spacing w:line="48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3.1投标人</w:t>
      </w:r>
      <w:r>
        <w:rPr>
          <w:rFonts w:hint="eastAsia" w:ascii="宋体" w:hAnsi="宋体" w:eastAsia="宋体" w:cs="宋体"/>
          <w:color w:val="auto"/>
          <w:sz w:val="24"/>
          <w:szCs w:val="24"/>
          <w:highlight w:val="none"/>
          <w:lang w:val="en-US" w:eastAsia="zh-CN"/>
        </w:rPr>
        <w:t xml:space="preserve">应有应急工作组，专门负责处理应急事件</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发生应急事件，</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应10分钟内响应，1小时内到达现场，2小时内给出合理的解决方案，每2小时通报应急解决情况。没有按要求做好应急响应或应急事件处置不当的，采购人有权要求</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按照应急事件造成的损失进行一定的赔偿。</w:t>
      </w:r>
      <w:r/>
    </w:p>
    <w:p>
      <w:pPr>
        <w:ind w:firstLine="482"/>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、验收要求</w:t>
      </w:r>
      <w:r/>
    </w:p>
    <w:p>
      <w:pPr>
        <w:ind w:firstLine="480"/>
        <w:keepLines w:val="0"/>
        <w:keepNext w:val="0"/>
        <w:pageBreakBefore w:val="0"/>
        <w:spacing w:line="480" w:lineRule="exact"/>
        <w:widowControl w:val="off"/>
        <w:rPr>
          <w:rStyle w:val="1197"/>
          <w:rFonts w:hint="eastAsia" w:ascii="宋体" w:hAnsi="宋体" w:cs="宋体"/>
          <w:b w:val="0"/>
          <w:bCs w:val="0"/>
          <w:color w:val="auto"/>
          <w:sz w:val="24"/>
          <w:szCs w:val="24"/>
          <w:highlight w:val="none"/>
          <w:lang w:val="en-US" w:eastAsia="zh-CN" w:bidi="ar"/>
        </w:rPr>
      </w:pPr>
      <w:r>
        <w:rPr>
          <w:rStyle w:val="1197"/>
          <w:rFonts w:hint="eastAsia" w:ascii="宋体" w:hAnsi="宋体" w:cs="宋体"/>
          <w:b w:val="0"/>
          <w:bCs w:val="0"/>
          <w:color w:val="auto"/>
          <w:sz w:val="24"/>
          <w:szCs w:val="24"/>
          <w:highlight w:val="none"/>
          <w:lang w:val="en-US" w:eastAsia="zh-CN" w:bidi="ar"/>
        </w:rPr>
        <w:t xml:space="preserve">1.初验</w:t>
      </w:r>
      <w:r/>
    </w:p>
    <w:p>
      <w:pPr>
        <w:ind w:firstLine="480"/>
        <w:keepLines w:val="0"/>
        <w:keepNext w:val="0"/>
        <w:pageBreakBefore w:val="0"/>
        <w:spacing w:line="480" w:lineRule="exact"/>
        <w:widowControl w:val="off"/>
        <w:rPr>
          <w:rStyle w:val="1197"/>
          <w:rFonts w:hint="eastAsia" w:ascii="宋体" w:hAnsi="宋体" w:cs="宋体"/>
          <w:b w:val="0"/>
          <w:bCs w:val="0"/>
          <w:color w:val="auto"/>
          <w:sz w:val="24"/>
          <w:szCs w:val="24"/>
          <w:highlight w:val="none"/>
          <w:lang w:val="en-US" w:eastAsia="zh-CN" w:bidi="ar"/>
        </w:rPr>
      </w:pPr>
      <w:r>
        <w:rPr>
          <w:rStyle w:val="1197"/>
          <w:rFonts w:hint="eastAsia" w:ascii="宋体" w:hAnsi="宋体" w:cs="宋体"/>
          <w:b w:val="0"/>
          <w:bCs w:val="0"/>
          <w:color w:val="auto"/>
          <w:sz w:val="24"/>
          <w:szCs w:val="24"/>
          <w:highlight w:val="none"/>
          <w:lang w:val="en-US" w:eastAsia="zh-CN" w:bidi="ar"/>
        </w:rPr>
        <w:t xml:space="preserve">在设备全部交付使用试运行30日后，中标供应商向采购方提出初验申请并提交初验所需资料。采购方根据招标文件和技术要求组织初验，初验无问题后签署初验单。</w:t>
      </w:r>
      <w:r/>
    </w:p>
    <w:p>
      <w:pPr>
        <w:ind w:firstLine="480"/>
        <w:keepLines w:val="0"/>
        <w:keepNext w:val="0"/>
        <w:pageBreakBefore w:val="0"/>
        <w:spacing w:line="480" w:lineRule="exact"/>
        <w:widowControl w:val="off"/>
        <w:rPr>
          <w:rStyle w:val="1197"/>
          <w:rFonts w:hint="eastAsia" w:ascii="宋体" w:hAnsi="宋体" w:cs="宋体"/>
          <w:b w:val="0"/>
          <w:bCs w:val="0"/>
          <w:color w:val="auto"/>
          <w:sz w:val="24"/>
          <w:szCs w:val="24"/>
          <w:highlight w:val="none"/>
          <w:lang w:val="en-US" w:eastAsia="zh-CN" w:bidi="ar"/>
        </w:rPr>
      </w:pPr>
      <w:r>
        <w:rPr>
          <w:rStyle w:val="1197"/>
          <w:rFonts w:hint="eastAsia" w:ascii="宋体" w:hAnsi="宋体" w:cs="宋体"/>
          <w:b w:val="0"/>
          <w:bCs w:val="0"/>
          <w:color w:val="auto"/>
          <w:sz w:val="24"/>
          <w:szCs w:val="24"/>
          <w:highlight w:val="none"/>
          <w:lang w:val="en-US" w:eastAsia="zh-CN" w:bidi="ar"/>
        </w:rPr>
        <w:t xml:space="preserve">2.终验</w:t>
      </w:r>
      <w:r/>
    </w:p>
    <w:p>
      <w:pPr>
        <w:ind w:firstLine="480"/>
        <w:keepLines w:val="0"/>
        <w:keepNext w:val="0"/>
        <w:pageBreakBefore w:val="0"/>
        <w:spacing w:line="480" w:lineRule="exact"/>
        <w:widowControl w:val="off"/>
        <w:rPr>
          <w:rStyle w:val="1197"/>
          <w:rFonts w:hint="eastAsia" w:ascii="宋体" w:hAnsi="宋体" w:cs="宋体"/>
          <w:b w:val="0"/>
          <w:bCs w:val="0"/>
          <w:color w:val="auto"/>
          <w:sz w:val="24"/>
          <w:szCs w:val="24"/>
          <w:highlight w:val="none"/>
          <w:lang w:val="en-US" w:eastAsia="zh-CN" w:bidi="ar"/>
        </w:rPr>
      </w:pPr>
      <w:r>
        <w:rPr>
          <w:rStyle w:val="1197"/>
          <w:rFonts w:hint="eastAsia" w:ascii="宋体" w:hAnsi="宋体" w:cs="宋体"/>
          <w:b w:val="0"/>
          <w:bCs w:val="0"/>
          <w:color w:val="auto"/>
          <w:sz w:val="24"/>
          <w:szCs w:val="24"/>
          <w:highlight w:val="none"/>
          <w:lang w:val="en-US" w:eastAsia="zh-CN" w:bidi="ar"/>
        </w:rPr>
        <w:t xml:space="preserve">终端配套加密卡服务期结束后，中标供应商向采购方提出终验申请并提交终验所需资料。采购方根据招标文件和技术要求组织终验，终验无问题后签署验收合格单。</w:t>
      </w:r>
      <w:r/>
    </w:p>
    <w:p>
      <w:pPr>
        <w:ind w:firstLine="480"/>
        <w:keepLines w:val="0"/>
        <w:keepNext w:val="0"/>
        <w:pageBreakBefore w:val="0"/>
        <w:spacing w:line="480" w:lineRule="exact"/>
        <w:widowControl w:val="off"/>
        <w:rPr>
          <w:rStyle w:val="1197"/>
          <w:rFonts w:hint="eastAsia" w:ascii="宋体" w:hAnsi="宋体" w:cs="宋体"/>
          <w:b w:val="0"/>
          <w:bCs w:val="0"/>
          <w:color w:val="auto"/>
          <w:sz w:val="24"/>
          <w:szCs w:val="24"/>
          <w:highlight w:val="none"/>
          <w:lang w:val="en-US" w:eastAsia="zh-CN" w:bidi="ar"/>
        </w:rPr>
      </w:pPr>
      <w:r>
        <w:rPr>
          <w:rStyle w:val="1197"/>
          <w:rFonts w:hint="eastAsia" w:ascii="宋体" w:hAnsi="宋体" w:cs="宋体"/>
          <w:b w:val="0"/>
          <w:bCs w:val="0"/>
          <w:color w:val="auto"/>
          <w:sz w:val="24"/>
          <w:szCs w:val="24"/>
          <w:highlight w:val="none"/>
          <w:lang w:val="en-US" w:eastAsia="zh-CN" w:bidi="ar"/>
        </w:rPr>
        <w:t xml:space="preserve">3.验收标准</w:t>
      </w:r>
      <w:r/>
    </w:p>
    <w:p>
      <w:pPr>
        <w:pStyle w:val="1083"/>
        <w:ind w:firstLine="480"/>
        <w:spacing w:line="48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验收的标准按照招标文件、投标文件及相关标准实施，须服从采购人安排要求。</w:t>
      </w:r>
      <w:r/>
    </w:p>
    <w:p>
      <w:pPr>
        <w:numPr>
          <w:ilvl w:val="0"/>
          <w:numId w:val="0"/>
        </w:numPr>
        <w:ind w:firstLine="480"/>
        <w:keepLines w:val="0"/>
        <w:keepNext w:val="0"/>
        <w:pageBreakBefore w:val="0"/>
        <w:spacing w:line="480" w:lineRule="exact"/>
        <w:widowControl w:val="off"/>
        <w:rPr>
          <w:rStyle w:val="1197"/>
          <w:rFonts w:hint="default" w:ascii="宋体" w:hAnsi="宋体" w:cs="宋体"/>
          <w:b/>
          <w:bCs/>
          <w:color w:val="auto"/>
          <w:sz w:val="24"/>
          <w:szCs w:val="24"/>
          <w:highlight w:val="none"/>
          <w:lang w:val="en-US" w:eastAsia="zh-CN" w:bidi="ar"/>
        </w:rPr>
      </w:pPr>
      <w:r>
        <w:rPr>
          <w:rFonts w:ascii="宋体" w:hAnsi="宋体" w:cs="宋体"/>
          <w:b w:val="0"/>
          <w:bCs w:val="0"/>
          <w:color w:val="auto"/>
          <w:sz w:val="24"/>
          <w:highlight w:val="none"/>
        </w:rPr>
        <w:t xml:space="preserve">验收内容包括：</w:t>
      </w:r>
      <w:r>
        <w:rPr>
          <w:rFonts w:hint="eastAsia" w:ascii="宋体" w:hAnsi="宋体" w:cs="宋体"/>
          <w:b w:val="0"/>
          <w:bCs w:val="0"/>
          <w:color w:val="auto"/>
          <w:sz w:val="24"/>
          <w:highlight w:val="none"/>
          <w:lang w:val="en-US" w:eastAsia="zh-CN"/>
        </w:rPr>
        <w:t xml:space="preserve">品牌、</w:t>
      </w:r>
      <w:r>
        <w:rPr>
          <w:rFonts w:ascii="宋体" w:hAnsi="宋体" w:cs="宋体"/>
          <w:b w:val="0"/>
          <w:bCs w:val="0"/>
          <w:color w:val="auto"/>
          <w:sz w:val="24"/>
          <w:highlight w:val="none"/>
        </w:rPr>
        <w:t xml:space="preserve">规格、数量、外观质量、及货物包装是否完好，安装调试是否合格，所提供货物的装箱清单、用户手册、原厂保修卡、随机资料及配件、随机工具等是否齐全。货物最终验收后，</w:t>
      </w:r>
      <w:r>
        <w:rPr>
          <w:rFonts w:hint="eastAsia" w:ascii="宋体" w:hAnsi="宋体" w:cs="宋体"/>
          <w:b w:val="0"/>
          <w:bCs w:val="0"/>
          <w:color w:val="auto"/>
          <w:sz w:val="24"/>
          <w:highlight w:val="none"/>
          <w:lang w:val="en-US" w:eastAsia="zh-CN"/>
        </w:rPr>
        <w:t xml:space="preserve">中标供应商</w:t>
      </w:r>
      <w:r>
        <w:rPr>
          <w:rFonts w:ascii="宋体" w:hAnsi="宋体" w:cs="宋体"/>
          <w:b w:val="0"/>
          <w:bCs w:val="0"/>
          <w:color w:val="auto"/>
          <w:sz w:val="24"/>
          <w:highlight w:val="none"/>
        </w:rPr>
        <w:t xml:space="preserve">应对由于设计、 工艺或材料的缺陷而发生的任何不足或故障负责，并承担由此引起的一切后果。</w:t>
      </w:r>
      <w:r/>
    </w:p>
    <w:p>
      <w:pPr>
        <w:ind w:firstLine="482"/>
        <w:keepLines w:val="0"/>
        <w:keepNext w:val="0"/>
        <w:pageBreakBefore w:val="0"/>
        <w:spacing w:line="480" w:lineRule="exact"/>
        <w:widowControl w:val="off"/>
        <w:rPr>
          <w:rStyle w:val="1197"/>
          <w:rFonts w:hint="eastAsia" w:ascii="宋体" w:hAnsi="宋体" w:eastAsia="宋体" w:cs="宋体"/>
          <w:b/>
          <w:bCs/>
          <w:color w:val="auto"/>
          <w:sz w:val="24"/>
          <w:szCs w:val="24"/>
          <w:highlight w:val="none"/>
          <w:lang w:val="en-US" w:eastAsia="zh-CN" w:bidi="ar"/>
        </w:rPr>
      </w:pPr>
      <w:r>
        <w:rPr>
          <w:rStyle w:val="1197"/>
          <w:rFonts w:hint="eastAsia" w:ascii="宋体" w:hAnsi="宋体" w:cs="宋体"/>
          <w:b/>
          <w:bCs/>
          <w:color w:val="auto"/>
          <w:sz w:val="24"/>
          <w:szCs w:val="24"/>
          <w:highlight w:val="none"/>
          <w:lang w:val="en-US" w:eastAsia="zh-CN" w:bidi="ar"/>
        </w:rPr>
        <w:t xml:space="preserve">六</w:t>
      </w:r>
      <w:r>
        <w:rPr>
          <w:rStyle w:val="1197"/>
          <w:rFonts w:hint="eastAsia" w:ascii="宋体" w:hAnsi="宋体" w:eastAsia="宋体" w:cs="宋体"/>
          <w:b/>
          <w:bCs/>
          <w:color w:val="auto"/>
          <w:sz w:val="24"/>
          <w:szCs w:val="24"/>
          <w:highlight w:val="none"/>
          <w:lang w:val="en-US" w:eastAsia="zh-CN" w:bidi="ar"/>
        </w:rPr>
        <w:t xml:space="preserve">、售后服务要求</w:t>
      </w:r>
      <w:r/>
    </w:p>
    <w:p>
      <w:pPr>
        <w:ind w:firstLine="480"/>
        <w:keepLines w:val="0"/>
        <w:keepNext w:val="0"/>
        <w:pageBreakBefore w:val="0"/>
        <w:spacing w:line="480" w:lineRule="exact"/>
        <w:widowControl w:val="off"/>
        <w:rPr>
          <w:rStyle w:val="1197"/>
          <w:rFonts w:hint="eastAsia" w:ascii="宋体" w:hAnsi="宋体" w:eastAsia="宋体" w:cs="宋体"/>
          <w:b w:val="0"/>
          <w:bCs w:val="0"/>
          <w:color w:val="auto"/>
          <w:sz w:val="24"/>
          <w:szCs w:val="24"/>
          <w:highlight w:val="none"/>
          <w:lang w:val="en-US" w:eastAsia="zh-CN" w:bidi="ar"/>
        </w:rPr>
      </w:pPr>
      <w:r>
        <w:rPr>
          <w:rStyle w:val="1197"/>
          <w:rFonts w:hint="eastAsia" w:ascii="宋体" w:hAnsi="宋体" w:eastAsia="宋体" w:cs="宋体"/>
          <w:b w:val="0"/>
          <w:bCs w:val="0"/>
          <w:color w:val="auto"/>
          <w:sz w:val="24"/>
          <w:szCs w:val="24"/>
          <w:highlight w:val="none"/>
          <w:lang w:val="en-US" w:eastAsia="zh-CN" w:bidi="ar"/>
        </w:rPr>
        <w:t xml:space="preserve">（1）售后维保期3年</w:t>
      </w:r>
      <w:r>
        <w:rPr>
          <w:rStyle w:val="1197"/>
          <w:rFonts w:hint="eastAsia" w:ascii="宋体" w:hAnsi="宋体" w:cs="宋体"/>
          <w:b w:val="0"/>
          <w:bCs w:val="0"/>
          <w:color w:val="auto"/>
          <w:sz w:val="24"/>
          <w:szCs w:val="24"/>
          <w:highlight w:val="none"/>
          <w:lang w:val="en-US" w:eastAsia="zh-CN" w:bidi="ar"/>
        </w:rPr>
        <w:t xml:space="preserve">（初验合格之日起算）</w:t>
      </w:r>
      <w:r>
        <w:rPr>
          <w:rStyle w:val="1197"/>
          <w:rFonts w:hint="eastAsia" w:ascii="宋体" w:hAnsi="宋体" w:eastAsia="宋体" w:cs="宋体"/>
          <w:b w:val="0"/>
          <w:bCs w:val="0"/>
          <w:color w:val="auto"/>
          <w:sz w:val="24"/>
          <w:szCs w:val="24"/>
          <w:highlight w:val="none"/>
          <w:lang w:val="en-US" w:eastAsia="zh-CN" w:bidi="ar"/>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以交付使用并通过验收合格次日起开始计算。在售后维保期内对产品质量实行三包，因货物配置或制造质量问题而引起的故障，立即予以</w:t>
      </w:r>
      <w:r>
        <w:rPr>
          <w:rFonts w:hint="eastAsia" w:ascii="宋体" w:hAnsi="宋体" w:cs="宋体"/>
          <w:b w:val="0"/>
          <w:bCs w:val="0"/>
          <w:color w:val="auto"/>
          <w:sz w:val="24"/>
          <w:szCs w:val="24"/>
          <w:highlight w:val="none"/>
          <w:lang w:val="en-US" w:eastAsia="zh-CN"/>
        </w:rPr>
        <w:t xml:space="preserve">更换</w:t>
      </w:r>
      <w:r>
        <w:rPr>
          <w:rFonts w:hint="eastAsia" w:ascii="宋体" w:hAnsi="宋体" w:eastAsia="宋体" w:cs="宋体"/>
          <w:b w:val="0"/>
          <w:bCs w:val="0"/>
          <w:color w:val="auto"/>
          <w:sz w:val="24"/>
          <w:szCs w:val="24"/>
          <w:highlight w:val="none"/>
          <w:lang w:val="en-US" w:eastAsia="zh-CN"/>
        </w:rPr>
        <w:t xml:space="preserve">。由此引起的一切费用由供应商承担。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（2）响应时间。在售后维保期内，供应商服务时间应为 7×24小时，当接到故障电话通知立即响应、不超过2小时内积极配合解决故障。</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（3）未在上述规定时间内履行服务义务的，采购人可选择是否委托第三方代为处理，由此产生的费用及损失均由供应商承担。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（4）在规定的售后维保期内，中标方须对警务终端提供软件免费升级(按要求进行必要的双系统更新升级以及漏洞修复升级)。</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规定的售后维保期内，中标方按照移动警务终端安全要求提供维修或更换服务，保证维修过程不泄露公安内部数据，并不收取任何额外费用，如存储介质出现损坏，中标方须提供新的存储介质，并承诺不回收已损坏的存储介质，损坏的存储介质归采购人所有。</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（6）在规定的售后维保期内（第3年），中标方为每部终端免费提供一次电池更换服务(要求原装电池),每年提供不低于1次免费贴膜、保养等售后服务。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（7）在规定的售后维保期内，中标方要提供不低于71套移动警务终端的碎屏更换服务，按市场价减半收取费用。</w:t>
      </w:r>
      <w:r/>
    </w:p>
    <w:p>
      <w:pPr>
        <w:ind w:firstLine="480"/>
        <w:keepLines w:val="0"/>
        <w:keepNext w:val="0"/>
        <w:pageBreakBefore w:val="0"/>
        <w:spacing w:line="480" w:lineRule="exact"/>
        <w:widowControl w:val="off"/>
        <w:rPr>
          <w:rFonts w:hint="eastAsia" w:ascii="宋体" w:hAnsi="宋体" w:eastAsia="宋体" w:cs="宋体"/>
          <w:b/>
          <w:color w:val="auto"/>
          <w:sz w:val="44"/>
          <w:highlight w:val="none"/>
        </w:rPr>
      </w:pPr>
      <w:r>
        <w:rPr>
          <w:rFonts w:hint="eastAsia" w:ascii="宋体" w:hAnsi="宋体" w:eastAsia="宋体" w:cs="宋体"/>
          <w:color w:val="auto"/>
          <w:sz w:val="24"/>
          <w:szCs w:val="24"/>
          <w:highlight w:val="none"/>
          <w:lang w:val="en-US" w:eastAsia="zh-CN"/>
        </w:rPr>
        <w:t xml:space="preserve">（8）在规定的售后维保期之后的现场维护维修，另行商定维护费用标准，中标方将按所提供的人工、材料成本向采购人收取维护费用。</w:t>
      </w:r>
      <w:bookmarkStart w:id="53" w:name="_Toc29628"/>
      <w:r/>
      <w:r/>
    </w:p>
    <w:p>
      <w:pPr>
        <w:rPr>
          <w:rFonts w:hint="eastAsia"/>
          <w:color w:val="auto"/>
          <w:highlight w:val="none"/>
        </w:rPr>
      </w:pPr>
      <w:r>
        <w:rPr>
          <w:rFonts w:hint="eastAsia"/>
          <w:color w:val="auto"/>
          <w:highlight w:val="none"/>
        </w:rPr>
      </w:r>
      <w:r/>
    </w:p>
    <w:p>
      <w:pPr>
        <w:pStyle w:val="807"/>
        <w:jc w:val="both"/>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807"/>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44"/>
          <w:highlight w:val="none"/>
        </w:rPr>
      </w:r>
      <w:r/>
    </w:p>
    <w:p>
      <w:pPr>
        <w:pStyle w:val="807"/>
        <w:jc w:val="center"/>
        <w:keepLines/>
        <w:keepNext/>
        <w:pageBreakBefore w:val="0"/>
        <w:spacing w:before="181" w:after="181"/>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第五章评标方法与评标标准</w:t>
      </w:r>
      <w:bookmarkEnd w:id="53"/>
      <w:r/>
      <w:r/>
    </w:p>
    <w:p>
      <w:pPr>
        <w:ind w:firstLine="562"/>
        <w:spacing w:line="499" w:lineRule="atLeast"/>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一、资格审查</w:t>
      </w:r>
      <w:r/>
    </w:p>
    <w:p>
      <w:pPr>
        <w:ind w:firstLine="440"/>
        <w:spacing w:line="49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资格审查人员按照下列指标对各投标人的资格进行审查，未通过审查的为无效标，不参与评标。</w:t>
      </w:r>
      <w:r/>
    </w:p>
    <w:tbl>
      <w:tblPr>
        <w:tblStyle w:val="817"/>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资格审查因素</w:t>
            </w:r>
            <w:r/>
          </w:p>
        </w:tc>
        <w:tc>
          <w:tcPr>
            <w:tcMar>
              <w:left w:w="0" w:type="dxa"/>
              <w:top w:w="0" w:type="dxa"/>
              <w:right w:w="0" w:type="dxa"/>
              <w:bottom w:w="0" w:type="dxa"/>
            </w:tcMar>
            <w:tcW w:w="4105"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审查标准</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投标声明及承诺函</w:t>
            </w:r>
            <w:r/>
          </w:p>
        </w:tc>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落实政府采购政策</w:t>
            </w:r>
            <w:r/>
          </w:p>
        </w:tc>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信用信息</w:t>
            </w:r>
            <w:r/>
          </w:p>
        </w:tc>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联合体投标</w:t>
            </w:r>
            <w:r/>
          </w:p>
        </w:tc>
        <w:tc>
          <w:tcPr>
            <w:tcMar>
              <w:left w:w="0" w:type="dxa"/>
              <w:top w:w="0" w:type="dxa"/>
              <w:right w:w="0" w:type="dxa"/>
              <w:bottom w:w="0" w:type="dxa"/>
            </w:tcMar>
            <w:tcW w:w="4105"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不接受联合体投标</w:t>
            </w:r>
            <w:r/>
          </w:p>
        </w:tc>
      </w:tr>
    </w:tbl>
    <w:p>
      <w:pPr>
        <w:ind w:firstLine="562"/>
        <w:spacing w:line="499" w:lineRule="atLeast"/>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二、符合性审查</w:t>
      </w:r>
      <w:r/>
    </w:p>
    <w:p>
      <w:pPr>
        <w:ind w:firstLine="440"/>
        <w:spacing w:line="499" w:lineRule="atLeast"/>
        <w:rPr>
          <w:rFonts w:hint="eastAsia"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评标委员会首先按照下列指标对各投标人的投标文件进行符合性审查，未通过审查的为无效标，不再参与评审。</w:t>
      </w:r>
      <w:r/>
    </w:p>
    <w:tbl>
      <w:tblPr>
        <w:tblStyle w:val="817"/>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符合招标文件要求</w:t>
            </w:r>
            <w:r/>
          </w:p>
        </w:tc>
      </w:tr>
    </w:tbl>
    <w:p>
      <w:pPr>
        <w:ind w:firstLine="562"/>
        <w:spacing w:line="499" w:lineRule="atLeast"/>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三、评分办法—综合评分法</w:t>
      </w:r>
      <w:r/>
    </w:p>
    <w:p>
      <w:pPr>
        <w:ind w:firstLine="482"/>
        <w:spacing w:line="49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（一）评标办法：</w:t>
      </w:r>
      <w:r>
        <w:rPr>
          <w:rFonts w:hint="eastAsia" w:ascii="宋体" w:hAnsi="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49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综合评分保留至小数点后两位。 </w:t>
      </w:r>
      <w:r/>
    </w:p>
    <w:p>
      <w:pPr>
        <w:numPr>
          <w:ilvl w:val="0"/>
          <w:numId w:val="12"/>
        </w:numPr>
        <w:ind w:firstLine="482"/>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详细评审。</w:t>
      </w:r>
      <w:r>
        <w:rPr>
          <w:rFonts w:hint="eastAsia" w:ascii="宋体" w:hAnsi="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cs="宋体"/>
          <w:color w:val="auto"/>
          <w:highlight w:val="none"/>
        </w:rPr>
      </w:pPr>
      <w:r>
        <w:rPr>
          <w:rFonts w:hint="eastAsia" w:ascii="宋体" w:hAnsi="宋体" w:cs="宋体"/>
          <w:color w:val="auto"/>
          <w:highlight w:val="none"/>
        </w:rPr>
      </w:r>
      <w:r/>
    </w:p>
    <w:tbl>
      <w:tblPr>
        <w:tblStyle w:val="817"/>
        <w:tblW w:w="5068" w:type="pct"/>
        <w:tblInd w:w="-1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13"/>
        <w:gridCol w:w="1294"/>
        <w:gridCol w:w="1080"/>
        <w:gridCol w:w="5262"/>
      </w:tblGrid>
      <w:tr>
        <w:trPr>
          <w:trHeight w:val="90"/>
        </w:trPr>
        <w:tc>
          <w:tcPr>
            <w:gridSpan w:val="2"/>
            <w:tcW w:w="210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评审因素</w:t>
            </w:r>
            <w:r/>
          </w:p>
        </w:tc>
        <w:tc>
          <w:tcPr>
            <w:tcW w:w="107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分数</w:t>
            </w:r>
            <w:r/>
          </w:p>
        </w:tc>
        <w:tc>
          <w:tcPr>
            <w:tcW w:w="524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评审标准</w:t>
            </w:r>
            <w:r/>
          </w:p>
        </w:tc>
      </w:tr>
      <w:tr>
        <w:trPr>
          <w:trHeight w:val="463"/>
        </w:trPr>
        <w:tc>
          <w:tcPr>
            <w:tcW w:w="81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报价分</w:t>
            </w:r>
            <w:r/>
          </w:p>
        </w:tc>
        <w:tc>
          <w:tcPr>
            <w:tcW w:w="128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w:t>
            </w:r>
            <w:r/>
          </w:p>
        </w:tc>
        <w:tc>
          <w:tcPr>
            <w:tcW w:w="107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.00</w:t>
            </w:r>
            <w:r/>
          </w:p>
        </w:tc>
        <w:tc>
          <w:tcPr>
            <w:tcW w:w="5243" w:type="dxa"/>
            <w:vAlign w:val="center"/>
            <w:textDirection w:val="lrTb"/>
            <w:noWrap w:val="false"/>
          </w:tcPr>
          <w:p>
            <w:pPr>
              <w:ind w:firstLine="0"/>
              <w:jc w:val="both"/>
              <w:keepLines w:val="0"/>
              <w:keepNext w:val="0"/>
              <w:pageBreakBefore w:val="0"/>
              <w:spacing w:line="400" w:lineRule="exact"/>
              <w:widowControl w:val="off"/>
              <w:rPr>
                <w:rFonts w:hint="default"/>
                <w:color w:val="auto"/>
                <w:highlight w:val="none"/>
                <w:lang w:val="en-US" w:eastAsia="zh-CN"/>
              </w:rPr>
              <w:outlineLvl w:val="9"/>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。最终计算结果四舍五入保留至小数点后两位。</w:t>
            </w:r>
            <w:r/>
          </w:p>
        </w:tc>
      </w:tr>
      <w:tr>
        <w:trPr>
          <w:trHeight w:val="386"/>
        </w:trPr>
        <w:tc>
          <w:tcPr>
            <w:tcW w:w="81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技术响应</w:t>
            </w:r>
            <w:r/>
          </w:p>
        </w:tc>
        <w:tc>
          <w:tcPr>
            <w:tcW w:w="128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技术</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响应</w:t>
            </w:r>
            <w:r/>
          </w:p>
        </w:tc>
        <w:tc>
          <w:tcPr>
            <w:tcW w:w="107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.00</w:t>
            </w:r>
            <w:r/>
          </w:p>
        </w:tc>
        <w:tc>
          <w:tcPr>
            <w:tcW w:w="5243" w:type="dxa"/>
            <w:vAlign w:val="center"/>
            <w:textDirection w:val="lrTb"/>
            <w:noWrap w:val="false"/>
          </w:tcPr>
          <w:p>
            <w:pPr>
              <w:numPr>
                <w:ilvl w:val="0"/>
                <w:numId w:val="0"/>
              </w:num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文件“第四部分、采购需求”中的“技术要求”所列内容进行评分，所投产品技术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完全满足或优于招标文件技术要求的得</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分。标▲为重要参数（共</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条,计</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分），每有一项不满足的扣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标#为一般参数（共22条，计33分），每有一项不满足的扣1.5分。</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48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注：（1）投标人需详尽真实地提供投标产品的《技术要求响应及偏离表》，且均需在技术要求响应及偏离表内详尽真实的逐条提供偏差情况，否则将视为无响应或无效响应。</w:t>
            </w:r>
            <w:r/>
          </w:p>
          <w:p>
            <w:pPr>
              <w:numPr>
                <w:ilvl w:val="0"/>
                <w:numId w:val="0"/>
              </w:numPr>
              <w:keepLines w:val="0"/>
              <w:keepNext w:val="0"/>
              <w:pageBreakBefore w:val="0"/>
              <w:spacing w:line="48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（2）有指定证明材料要求的未按指定要求提供相关证明材料的将视为无效响应。</w:t>
            </w:r>
            <w:r/>
          </w:p>
          <w:p>
            <w:pPr>
              <w:numPr>
                <w:ilvl w:val="0"/>
                <w:numId w:val="0"/>
              </w:num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（3）无指定证明材料要求的以加盖投标人公章的《技术要求响应及偏离表》为准。</w:t>
            </w:r>
            <w:r/>
          </w:p>
        </w:tc>
      </w:tr>
      <w:tr>
        <w:trPr>
          <w:trHeight w:val="923"/>
        </w:trPr>
        <w:tc>
          <w:tcPr>
            <w:tcW w:w="811"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企业经营业绩、能力</w:t>
            </w:r>
            <w:r/>
          </w:p>
        </w:tc>
        <w:tc>
          <w:tcPr>
            <w:tcW w:w="128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企业业绩</w:t>
            </w:r>
            <w:r/>
          </w:p>
        </w:tc>
        <w:tc>
          <w:tcPr>
            <w:tcW w:w="107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p>
        </w:tc>
        <w:tc>
          <w:tcPr>
            <w:tcW w:w="5243"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投标人自2022年01月01日以来（以合同签订时间为准）承接过类似业绩的，每提供一个得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得4</w:t>
            </w:r>
            <w:r>
              <w:rPr>
                <w:rFonts w:hint="eastAsia" w:ascii="宋体" w:hAnsi="宋体" w:eastAsia="宋体" w:cs="宋体"/>
                <w:color w:val="auto"/>
                <w:sz w:val="24"/>
                <w:szCs w:val="24"/>
                <w:highlight w:val="none"/>
              </w:rPr>
              <w:t xml:space="preserve">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1）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（2）合同甲方履约评价中出现“不满意”或“差”或“不合格”或同等意思表达的，该业绩不得分。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（3）投标人提供的企业业绩将随中标结果公告同步公开。</w:t>
            </w:r>
            <w:r/>
          </w:p>
        </w:tc>
      </w:tr>
      <w:tr>
        <w:trPr>
          <w:trHeight w:val="923"/>
        </w:trPr>
        <w:tc>
          <w:tcPr>
            <w:tcW w:w="811"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9"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企业能力</w:t>
            </w:r>
            <w:r/>
          </w:p>
        </w:tc>
        <w:tc>
          <w:tcPr>
            <w:tcW w:w="107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2.00</w:t>
            </w:r>
            <w:r/>
          </w:p>
        </w:tc>
        <w:tc>
          <w:tcPr>
            <w:tcW w:w="5243"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投标人具有质量管理体系认证、信息安全管理体系认证的，每有一个得1分，本项最高得2分。</w:t>
            </w:r>
            <w:r/>
          </w:p>
          <w:p>
            <w:pPr>
              <w:ind w:firstLine="0"/>
              <w:jc w:val="left"/>
              <w:keepLines w:val="0"/>
              <w:keepNext w:val="0"/>
              <w:pageBreakBefore w:val="0"/>
              <w:spacing w:line="40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注：提供“全国认证认可信息公共服务平台”查询网页截图及证书电子件，未提供或提供不清晰不得分。 （全国认证认可信息公共服务平台网址：http://cx.cnca.cn/CertECloud/index/index/page）</w:t>
            </w:r>
            <w:r/>
          </w:p>
        </w:tc>
      </w:tr>
      <w:tr>
        <w:trPr>
          <w:trHeight w:val="923"/>
        </w:trPr>
        <w:tc>
          <w:tcPr>
            <w:tcW w:w="811"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环境标志、节能产品</w:t>
            </w:r>
            <w:r/>
          </w:p>
        </w:tc>
        <w:tc>
          <w:tcPr>
            <w:tcW w:w="107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w:t>
            </w:r>
            <w:r/>
          </w:p>
        </w:tc>
        <w:tc>
          <w:tcPr>
            <w:tcW w:w="5243"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中标人提供的节能环保</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将随中标结果同步公开。</w:t>
            </w:r>
            <w:r/>
          </w:p>
        </w:tc>
      </w:tr>
      <w:tr>
        <w:trPr>
          <w:trHeight w:val="558"/>
        </w:trPr>
        <w:tc>
          <w:tcPr>
            <w:tcW w:w="811"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项目实施方案</w:t>
            </w:r>
            <w:r/>
          </w:p>
        </w:tc>
        <w:tc>
          <w:tcPr>
            <w:shd w:val="clear" w:color="auto" w:fill="auto"/>
            <w:tcW w:w="1289"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eastAsia="zh-CN"/>
              </w:rPr>
              <w:t xml:space="preserve">进度安排</w:t>
            </w:r>
            <w:r/>
          </w:p>
        </w:tc>
        <w:tc>
          <w:tcPr>
            <w:shd w:val="clear" w:color="auto" w:fill="auto"/>
            <w:tcW w:w="1076" w:type="dxa"/>
            <w:vAlign w:val="center"/>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shd w:val="clear" w:color="auto" w:fill="auto"/>
            <w:tcW w:w="5243" w:type="dxa"/>
            <w:vAlign w:val="center"/>
            <w:textDirection w:val="lrTb"/>
            <w:noWrap w:val="false"/>
          </w:tcPr>
          <w:p>
            <w:pPr>
              <w:ind w:firstLine="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根据招标文件“第四章、采购需求—项目实施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”中“进度安排”制定进度安排</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方案合理且优于采购需求的得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分；进度安排基本详实,能够满足采购需求的得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分；进度安排方案不完整承诺后期优化能满足</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基本要求的得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分；没有内容不得分。</w:t>
            </w:r>
            <w:r/>
          </w:p>
        </w:tc>
      </w:tr>
      <w:tr>
        <w:trPr>
          <w:trHeight w:val="558"/>
        </w:trPr>
        <w:tc>
          <w:tcPr>
            <w:tcW w:w="811"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r>
            <w:r/>
          </w:p>
        </w:tc>
        <w:tc>
          <w:tcPr>
            <w:shd w:val="clear" w:color="auto" w:fill="auto"/>
            <w:tcW w:w="1289"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质量保障</w:t>
            </w:r>
            <w:r/>
          </w:p>
        </w:tc>
        <w:tc>
          <w:tcPr>
            <w:shd w:val="clear" w:color="auto" w:fill="auto"/>
            <w:tcW w:w="1076"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.00</w:t>
            </w:r>
            <w:r/>
          </w:p>
        </w:tc>
        <w:tc>
          <w:tcPr>
            <w:shd w:val="clear" w:color="auto" w:fill="auto"/>
            <w:tcW w:w="5243" w:type="dxa"/>
            <w:vAlign w:val="center"/>
            <w:textDirection w:val="lrTb"/>
            <w:noWrap w:val="false"/>
          </w:tcPr>
          <w:p>
            <w:pPr>
              <w:ind w:firstLine="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根据招标文件“第四章、采购需求—项目实施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”中“质量保障措施”制定质量保障措施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措施内容详细全面优于采购需求的得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分；方案内容</w:t>
            </w:r>
            <w:r>
              <w:rPr>
                <w:rFonts w:hint="eastAsia" w:ascii="宋体" w:hAnsi="宋体" w:cs="宋体"/>
                <w:color w:val="auto"/>
                <w:sz w:val="24"/>
                <w:szCs w:val="24"/>
                <w:highlight w:val="none"/>
                <w:lang w:val="en-US" w:eastAsia="zh-CN"/>
              </w:rPr>
              <w:t xml:space="preserve">基本详实，</w:t>
            </w:r>
            <w:r>
              <w:rPr>
                <w:rFonts w:hint="eastAsia" w:ascii="宋体" w:hAnsi="宋体" w:eastAsia="宋体" w:cs="宋体"/>
                <w:color w:val="auto"/>
                <w:sz w:val="24"/>
                <w:szCs w:val="24"/>
                <w:highlight w:val="none"/>
                <w:lang w:val="en-US" w:eastAsia="zh-CN"/>
              </w:rPr>
              <w:t xml:space="preserve">能够满足采购需求的得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分；方案内容不完整承诺后期优化能够满足采购需求的得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分。没有内容的不得分。</w:t>
            </w:r>
            <w:r/>
          </w:p>
        </w:tc>
      </w:tr>
      <w:tr>
        <w:trPr>
          <w:trHeight w:val="558"/>
        </w:trPr>
        <w:tc>
          <w:tcPr>
            <w:tcW w:w="811"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tc>
        <w:tc>
          <w:tcPr>
            <w:tcW w:w="1289" w:type="dxa"/>
            <w:vAlign w:val="center"/>
            <w:textDirection w:val="lrTb"/>
            <w:noWrap w:val="false"/>
          </w:tcPr>
          <w:p>
            <w:pPr>
              <w:ind w:firstLine="0"/>
              <w:jc w:val="center"/>
              <w:keepLines w:val="0"/>
              <w:keepNext w:val="0"/>
              <w:pageBreakBefore w:val="0"/>
              <w:spacing w:line="48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应急服务要求</w:t>
            </w:r>
            <w:r/>
          </w:p>
        </w:tc>
        <w:tc>
          <w:tcPr>
            <w:tcW w:w="1076" w:type="dxa"/>
            <w:vAlign w:val="center"/>
            <w:textDirection w:val="lrTb"/>
            <w:noWrap w:val="false"/>
          </w:tcPr>
          <w:p>
            <w:pPr>
              <w:ind w:firstLine="0"/>
              <w:jc w:val="center"/>
              <w:keepLines w:val="0"/>
              <w:keepNext w:val="0"/>
              <w:pageBreakBefore w:val="0"/>
              <w:spacing w:line="48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5.00</w:t>
            </w:r>
            <w:r/>
          </w:p>
        </w:tc>
        <w:tc>
          <w:tcPr>
            <w:tcW w:w="5243" w:type="dxa"/>
            <w:vAlign w:val="center"/>
            <w:textDirection w:val="lrTb"/>
            <w:noWrap w:val="false"/>
          </w:tcPr>
          <w:p>
            <w:pPr>
              <w:ind w:firstLine="0"/>
              <w:jc w:val="left"/>
              <w:keepLines w:val="0"/>
              <w:keepNext w:val="0"/>
              <w:pageBreakBefore w:val="0"/>
              <w:spacing w:line="48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根据招标文件“第四章、采购需求—项目实施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应急服务要求</w:t>
            </w:r>
            <w:r>
              <w:rPr>
                <w:rFonts w:hint="eastAsia" w:ascii="宋体" w:hAnsi="宋体" w:eastAsia="宋体" w:cs="宋体"/>
                <w:color w:val="auto"/>
                <w:sz w:val="24"/>
                <w:szCs w:val="24"/>
                <w:highlight w:val="none"/>
                <w:lang w:val="en-US" w:eastAsia="zh-CN"/>
              </w:rPr>
              <w:t xml:space="preserve">”制定</w:t>
            </w:r>
            <w:r>
              <w:rPr>
                <w:rFonts w:hint="eastAsia" w:ascii="宋体" w:hAnsi="宋体" w:cs="宋体"/>
                <w:color w:val="auto"/>
                <w:sz w:val="24"/>
                <w:szCs w:val="24"/>
                <w:highlight w:val="none"/>
                <w:lang w:val="en-US" w:eastAsia="zh-CN"/>
              </w:rPr>
              <w:t xml:space="preserve">应急方案：应急解决方案具体全面，措施到位，能够优于采购需求的得5分；应急解决方案较具体全面，措施基本到位，能够满足采购需求的得3分；应急解决方案不够具体全面承诺后期经过优化能够满足采购需求的得1分。没有内容不得分。</w:t>
            </w:r>
            <w:r/>
          </w:p>
        </w:tc>
      </w:tr>
      <w:tr>
        <w:trPr>
          <w:trHeight w:val="558"/>
        </w:trPr>
        <w:tc>
          <w:tcPr>
            <w:tcW w:w="81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其他</w:t>
            </w:r>
            <w:r/>
          </w:p>
        </w:tc>
        <w:tc>
          <w:tcPr>
            <w:tcW w:w="1289" w:type="dxa"/>
            <w:vAlign w:val="center"/>
            <w:textDirection w:val="lrTb"/>
            <w:noWrap w:val="false"/>
          </w:tcPr>
          <w:p>
            <w:pPr>
              <w:ind w:firstLine="0"/>
              <w:jc w:val="center"/>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lang w:val="en-US" w:eastAsia="zh-CN"/>
              </w:rPr>
              <w:t xml:space="preserve">服务方案</w:t>
            </w:r>
            <w:r/>
          </w:p>
        </w:tc>
        <w:tc>
          <w:tcPr>
            <w:tcW w:w="1076" w:type="dxa"/>
            <w:vAlign w:val="center"/>
            <w:textDirection w:val="lrTb"/>
            <w:noWrap w:val="false"/>
          </w:tcPr>
          <w:p>
            <w:pPr>
              <w:ind w:firstLine="0"/>
              <w:jc w:val="center"/>
              <w:keepLines w:val="0"/>
              <w:keepNext w:val="0"/>
              <w:pageBreakBefore w:val="0"/>
              <w:spacing w:line="48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6.00</w:t>
            </w:r>
            <w:r/>
          </w:p>
        </w:tc>
        <w:tc>
          <w:tcPr>
            <w:tcW w:w="5243" w:type="dxa"/>
            <w:vAlign w:val="center"/>
            <w:textDirection w:val="lrTb"/>
            <w:noWrap w:val="false"/>
          </w:tcPr>
          <w:p>
            <w:pPr>
              <w:ind w:firstLine="0"/>
              <w:jc w:val="left"/>
              <w:keepLines w:val="0"/>
              <w:keepNext w:val="0"/>
              <w:pageBreakBefore w:val="0"/>
              <w:spacing w:line="480" w:lineRule="exact"/>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投标人根据招标文件“第四章、采购需求—售后服务要求”制定售后服务方案；方案内容详细全面，优于采购需求得 6分；方案内容基本详实，满足采购需求得4分；方案内容不完整但承诺后期优化能够满足采购需求的得2分。没有内容的不得分。</w:t>
            </w:r>
            <w:r/>
          </w:p>
        </w:tc>
      </w:tr>
    </w:tbl>
    <w:p>
      <w:pPr>
        <w:rPr>
          <w:color w:val="auto"/>
          <w:highlight w:val="none"/>
        </w:rPr>
      </w:pPr>
      <w:r>
        <w:rPr>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1"/>
        <w:spacing w:line="40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（三）评标结果。</w:t>
      </w:r>
      <w:r>
        <w:rPr>
          <w:rFonts w:hint="eastAsia" w:ascii="宋体" w:hAnsi="宋体" w:cs="宋体"/>
          <w:color w:val="auto"/>
          <w:sz w:val="24"/>
          <w:highlight w:val="none"/>
        </w:rPr>
        <w:t xml:space="preserve">评标委员会按照本办法规定推荐中标候选人，并形成评标报告。</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cs="宋体"/>
          <w:color w:val="auto"/>
          <w:highlight w:val="none"/>
        </w:rPr>
      </w:pPr>
      <w:r>
        <w:rPr>
          <w:rFonts w:hint="eastAsia" w:ascii="宋体" w:hAnsi="宋体" w:cs="宋体"/>
          <w:color w:val="auto"/>
          <w:highlight w:val="none"/>
        </w:rPr>
      </w:r>
      <w:r/>
    </w:p>
    <w:p>
      <w:pPr>
        <w:pStyle w:val="807"/>
        <w:jc w:val="both"/>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bookmarkStart w:id="54" w:name="_Toc27984"/>
      <w:r/>
      <w:r/>
    </w:p>
    <w:p>
      <w:pPr>
        <w:pStyle w:val="807"/>
        <w:jc w:val="center"/>
        <w:keepLines/>
        <w:keepNext/>
        <w:pageBreakBefore w:val="0"/>
        <w:spacing w:before="181" w:after="181"/>
        <w:widowControl w:val="off"/>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第六章投标文件格式</w:t>
      </w:r>
      <w:bookmarkEnd w:id="54"/>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55" w:name="_Toc7374"/>
      <w:r/>
      <w:bookmarkStart w:id="56" w:name="_Toc4474"/>
      <w:r>
        <w:rPr>
          <w:rFonts w:hint="eastAsia" w:ascii="宋体" w:hAnsi="宋体" w:cs="宋体"/>
          <w:b/>
          <w:color w:val="auto"/>
          <w:sz w:val="72"/>
          <w:highlight w:val="none"/>
        </w:rPr>
        <w:t xml:space="preserve">投标文件</w:t>
      </w:r>
      <w:bookmarkEnd w:id="55"/>
      <w:r/>
      <w:bookmarkEnd w:id="56"/>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ind w:firstLine="723"/>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57" w:name="_Toc4722"/>
      <w:r/>
      <w:bookmarkStart w:id="58" w:name="_Toc9943"/>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bookmarkEnd w:id="57"/>
      <w:r/>
      <w:bookmarkEnd w:id="58"/>
      <w:r>
        <w:rPr>
          <w:rFonts w:hint="eastAsia" w:ascii="宋体" w:hAnsi="宋体" w:cs="宋体"/>
          <w:b/>
          <w:color w:val="auto"/>
          <w:sz w:val="36"/>
          <w:highlight w:val="none"/>
          <w:u w:val="single"/>
        </w:rPr>
        <w:t xml:space="preserve">    </w:t>
      </w:r>
      <w:r/>
    </w:p>
    <w:p>
      <w:pPr>
        <w:ind w:firstLine="723"/>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59" w:name="_Toc22176"/>
      <w:r/>
      <w:bookmarkStart w:id="60" w:name="_Toc14242"/>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 </w:t>
      </w:r>
      <w:bookmarkEnd w:id="59"/>
      <w:r/>
      <w:bookmarkEnd w:id="60"/>
      <w:r/>
      <w:r/>
    </w:p>
    <w:p>
      <w:pPr>
        <w:ind w:firstLine="723"/>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61" w:name="_Toc20675"/>
      <w:r/>
      <w:bookmarkStart w:id="62" w:name="_Toc20286"/>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（加盖CA电子公章）</w:t>
      </w:r>
      <w:bookmarkEnd w:id="61"/>
      <w:r/>
      <w:bookmarkEnd w:id="62"/>
      <w:r>
        <w:rPr>
          <w:rFonts w:hint="eastAsia" w:ascii="宋体" w:hAnsi="宋体" w:cs="宋体"/>
          <w:b/>
          <w:color w:val="auto"/>
          <w:sz w:val="36"/>
          <w:highlight w:val="none"/>
          <w:u w:val="single"/>
        </w:rPr>
        <w:t xml:space="preserve"> </w:t>
      </w:r>
      <w:r/>
    </w:p>
    <w:p>
      <w:pPr>
        <w:ind w:firstLine="723"/>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63" w:name="_Toc26209"/>
      <w:r/>
      <w:bookmarkStart w:id="64" w:name="_Toc31364"/>
      <w:r>
        <w:rPr>
          <w:rFonts w:hint="eastAsia" w:ascii="宋体" w:hAnsi="宋体" w:cs="宋体"/>
          <w:b/>
          <w:color w:val="auto"/>
          <w:sz w:val="36"/>
          <w:highlight w:val="none"/>
        </w:rPr>
        <w:t xml:space="preserve">日期 ：</w:t>
      </w:r>
      <w:r>
        <w:rPr>
          <w:rFonts w:hint="eastAsia" w:ascii="宋体" w:hAnsi="宋体" w:cs="宋体"/>
          <w:b/>
          <w:color w:val="auto"/>
          <w:sz w:val="36"/>
          <w:highlight w:val="none"/>
          <w:u w:val="single"/>
        </w:rPr>
        <w:t xml:space="preserve">             </w:t>
      </w:r>
      <w:bookmarkEnd w:id="63"/>
      <w:r/>
      <w:bookmarkEnd w:id="64"/>
      <w:r/>
      <w:r/>
    </w:p>
    <w:p>
      <w:pPr>
        <w:jc w:val="center"/>
        <w:spacing w:line="43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spacing w:line="43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p>
    <w:p>
      <w:pPr>
        <w:ind w:firstLine="1084"/>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pStyle w:val="1101"/>
        <w:jc w:val="center"/>
        <w:spacing w:before="0" w:beforeAutospacing="0" w:after="0" w:afterAutospacing="0"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01"/>
        <w:jc w:val="center"/>
        <w:spacing w:before="0" w:beforeAutospacing="0" w:after="0" w:afterAutospacing="0"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、投标报价明细表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、中小企业声明函</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残疾人福利性单位声明函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、项目组成员</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十一、项目实施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十二、售后服务</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、投标所需其他材料</w:t>
      </w:r>
      <w:r/>
    </w:p>
    <w:p>
      <w:pPr>
        <w:pStyle w:val="1089"/>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left="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highlight w:val="none"/>
        </w:rPr>
      </w:r>
      <w:r/>
    </w:p>
    <w:p>
      <w:pPr>
        <w:pStyle w:val="1188"/>
        <w:ind w:left="0" w:right="0"/>
        <w:keepNext w:val="0"/>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一、投标声明及承诺函</w:t>
      </w:r>
      <w:r/>
    </w:p>
    <w:p>
      <w:pPr>
        <w:pStyle w:val="1188"/>
        <w:ind w:left="0" w:right="0"/>
        <w:jc w:val="left"/>
        <w:keepNext w:val="0"/>
        <w:pageBreakBefore w:val="0"/>
        <w:spacing w:beforeAutospacing="0" w:afterAutospacing="0"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left="0" w:right="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left="0" w:right="0" w:firstLine="48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188"/>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148"/>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2"/>
          <w:szCs w:val="32"/>
          <w:highlight w:val="none"/>
        </w:rPr>
        <w:t xml:space="preserve">二、投标人基本情况</w:t>
      </w:r>
      <w:r/>
    </w:p>
    <w:p>
      <w:pPr>
        <w:pStyle w:val="1164"/>
        <w:ind w:left="0" w:right="0"/>
        <w:jc w:val="center"/>
        <w:keepLines w:val="0"/>
        <w:keepNext w:val="0"/>
        <w:pageBreakBefore w:val="0"/>
        <w:spacing w:before="181" w:beforeAutospacing="0" w:after="181" w:afterAutospacing="0" w:line="480" w:lineRule="exact"/>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投标人基本情况表</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6"/>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164"/>
              <w:ind w:left="0" w:right="0" w:firstLine="1432"/>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16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164"/>
              <w:ind w:left="0" w:right="0"/>
              <w:jc w:val="both"/>
              <w:keepNext w:val="0"/>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附营业执照</w:t>
            </w:r>
            <w:r/>
          </w:p>
        </w:tc>
      </w:tr>
    </w:tbl>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32"/>
          <w:szCs w:val="32"/>
          <w:highlight w:val="none"/>
          <w:lang w:val="en-US" w:eastAsia="zh-CN"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32"/>
          <w:szCs w:val="32"/>
          <w:highlight w:val="none"/>
          <w:lang w:val="en-US" w:eastAsia="zh-CN" w:bidi="ar-SA"/>
        </w:rPr>
      </w:r>
      <w:r/>
    </w:p>
    <w:p>
      <w:pPr>
        <w:ind w:left="0" w:right="0"/>
        <w:keepNext w:val="0"/>
        <w:pageBreakBefore w:val="0"/>
        <w:spacing w:beforeAutospacing="0" w:afterAutospacing="0" w:line="48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三、特定资格要求的证明文件</w:t>
      </w:r>
      <w:r/>
    </w:p>
    <w:p>
      <w:pPr>
        <w:ind w:left="0" w:right="0"/>
        <w:keepNext w:val="0"/>
        <w:pageBreakBefore w:val="0"/>
        <w:spacing w:beforeAutospacing="0" w:afterAutospacing="0"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1184"/>
        <w:ind w:left="0" w:right="0"/>
        <w:keepNext w:val="0"/>
        <w:pageBreakBefore w:val="0"/>
        <w:spacing w:beforeAutospacing="0" w:afterAutospacing="0" w:line="480" w:lineRule="exact"/>
        <w:rPr>
          <w:rFonts w:hint="eastAsia" w:ascii="宋体" w:hAnsi="宋体" w:eastAsia="宋体" w:cs="宋体"/>
          <w:i/>
          <w:color w:val="auto"/>
          <w:sz w:val="24"/>
          <w:szCs w:val="24"/>
          <w:highlight w:val="none"/>
          <w:u w:val="single"/>
          <w:lang w:val="en-US"/>
        </w:rPr>
      </w:pPr>
      <w:r>
        <w:rPr>
          <w:rFonts w:hint="eastAsia" w:ascii="宋体" w:hAnsi="宋体" w:eastAsia="宋体" w:cs="宋体"/>
          <w:i/>
          <w:color w:val="auto"/>
          <w:sz w:val="24"/>
          <w:szCs w:val="24"/>
          <w:highlight w:val="none"/>
          <w:u w:val="single"/>
          <w:lang w:val="en-US"/>
        </w:rPr>
      </w:r>
      <w:r/>
    </w:p>
    <w:p>
      <w:pPr>
        <w:pStyle w:val="1184"/>
        <w:ind w:left="0" w:right="0"/>
        <w:keepNext w:val="0"/>
        <w:pageBreakBefore w:val="0"/>
        <w:spacing w:beforeAutospacing="0" w:afterAutospacing="0" w:line="480" w:lineRule="exact"/>
        <w:rPr>
          <w:rFonts w:hint="eastAsia" w:ascii="宋体" w:hAnsi="宋体" w:eastAsia="宋体" w:cs="宋体"/>
          <w:i/>
          <w:color w:val="auto"/>
          <w:sz w:val="24"/>
          <w:szCs w:val="24"/>
          <w:highlight w:val="none"/>
          <w:u w:val="single"/>
          <w:lang w:val="en-US"/>
        </w:rPr>
      </w:pPr>
      <w:r>
        <w:rPr>
          <w:rFonts w:hint="eastAsia" w:ascii="宋体" w:hAnsi="宋体" w:eastAsia="宋体" w:cs="宋体"/>
          <w:i/>
          <w:color w:val="auto"/>
          <w:sz w:val="24"/>
          <w:szCs w:val="24"/>
          <w:highlight w:val="none"/>
          <w:u w:val="single"/>
          <w:lang w:val="en-US"/>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keepNext w:val="0"/>
        <w:pageBreakBefore w:val="0"/>
        <w:spacing w:beforeAutospacing="0" w:afterAutospacing="0" w:line="48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四、法人授权书</w:t>
      </w:r>
      <w:r/>
    </w:p>
    <w:p>
      <w:pPr>
        <w:pStyle w:val="1140"/>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140"/>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140"/>
        <w:ind w:left="0" w:right="0" w:firstLine="0"/>
        <w:keepNext w:val="0"/>
        <w:pageBreakBefore w:val="0"/>
        <w:spacing w:beforeAutospacing="0" w:afterAutospacing="0"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140"/>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pStyle w:val="1140"/>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140"/>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40"/>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65" w:name="_Hlt26955070"/>
      <w:r/>
      <w:bookmarkEnd w:id="65"/>
      <w:r/>
      <w:bookmarkStart w:id="66" w:name="_Hlt26671380"/>
      <w:r/>
      <w:bookmarkEnd w:id="66"/>
      <w:r/>
      <w:bookmarkStart w:id="67" w:name="_格式3__银行出具的资信证明"/>
      <w:r/>
      <w:bookmarkEnd w:id="67"/>
      <w:r>
        <w:rPr>
          <w:rFonts w:hint="eastAsia" w:ascii="宋体" w:hAnsi="宋体" w:eastAsia="宋体" w:cs="宋体"/>
          <w:color w:val="auto"/>
          <w:sz w:val="24"/>
          <w:szCs w:val="24"/>
          <w:highlight w:val="none"/>
          <w:u w:val="singl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jc w:val="both"/>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附双方身份证证明资料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type="page" w:clear="all"/>
      </w:r>
      <w:r/>
    </w:p>
    <w:p>
      <w:pPr>
        <w:ind w:left="0" w:right="0"/>
        <w:keepNext w:val="0"/>
        <w:pageBreakBefore w:val="0"/>
        <w:spacing w:beforeAutospacing="0" w:afterAutospacing="0" w:line="48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五、开标一览表</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jc w:val="center"/>
          <w:trHeight w:val="612"/>
        </w:trPr>
        <w:tc>
          <w:tcPr>
            <w:tcW w:w="8206" w:type="dxa"/>
            <w:vAlign w:val="center"/>
            <w:textDirection w:val="lrTb"/>
            <w:noWrap w:val="false"/>
          </w:tcPr>
          <w:p>
            <w:pPr>
              <w:pStyle w:val="1190"/>
              <w:ind w:left="0" w:right="0" w:firstLine="0"/>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（人民币：元）</w:t>
            </w:r>
            <w:r/>
          </w:p>
        </w:tc>
      </w:tr>
    </w:tbl>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keepNext w:val="0"/>
        <w:pageBreakBefore w:val="0"/>
        <w:spacing w:beforeAutospacing="0" w:afterAutospacing="0" w:line="48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六、投标报价明细表</w:t>
      </w:r>
      <w:r/>
    </w:p>
    <w:p>
      <w:pPr>
        <w:numPr>
          <w:ilvl w:val="0"/>
          <w:numId w:val="0"/>
        </w:num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分项报价表</w:t>
      </w:r>
      <w:r/>
    </w:p>
    <w:p>
      <w:pPr>
        <w:numPr>
          <w:ilvl w:val="0"/>
          <w:numId w:val="0"/>
        </w:num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（货物类）</w:t>
      </w:r>
      <w:r/>
    </w:p>
    <w:p>
      <w:pPr>
        <w:numPr>
          <w:ilvl w:val="0"/>
          <w:numId w:val="0"/>
        </w:num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81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294"/>
        </w:trPr>
        <w:tc>
          <w:tcPr>
            <w:tcW w:w="55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序号</w:t>
            </w:r>
            <w:r/>
          </w:p>
        </w:tc>
        <w:tc>
          <w:tcPr>
            <w:tcW w:w="103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414"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784"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80"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727"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03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03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03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9"/>
            <w:tcW w:w="9081" w:type="dxa"/>
            <w:vAlign w:val="center"/>
            <w:textDirection w:val="lrTb"/>
            <w:noWrap w:val="false"/>
          </w:tcPr>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r>
    </w:tbl>
    <w:p>
      <w:pPr>
        <w:pStyle w:val="1188"/>
        <w:ind w:right="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right="0"/>
        <w:jc w:val="lef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864"/>
        <w:ind w:left="0" w:right="0"/>
        <w:jc w:val="left"/>
        <w:keepLines/>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pStyle w:val="864"/>
        <w:ind w:left="0" w:right="0"/>
        <w:jc w:val="left"/>
        <w:keepLines/>
        <w:keepNext w:val="0"/>
        <w:pageBreakBefore w:val="0"/>
        <w:spacing w:before="0" w:beforeAutospacing="0" w:after="0" w:afterAutospacing="0" w:line="48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备注：1.投标报价采用总承包方式，“投标总报价”应包括所投货物(包含与货物相关的服务)费用、安装调试费、测试验收费、培训费、运行维护费用、税金、运输保险费、办理全套免税手续费用(如果有)及其他有关的为完成本项目发生的所有费用，招标文件中另有规定的除外。</w:t>
      </w:r>
      <w:r/>
    </w:p>
    <w:p>
      <w:pPr>
        <w:pStyle w:val="864"/>
        <w:ind w:left="0" w:right="0"/>
        <w:jc w:val="left"/>
        <w:keepLines/>
        <w:keepNext w:val="0"/>
        <w:pageBreakBefore w:val="0"/>
        <w:spacing w:before="0" w:beforeAutospacing="0" w:after="0" w:afterAutospacing="0" w:line="48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2.“投标分项报价表”中“投标总报价”数额应当与“开标一览表”中“投标总报价”数额一致。</w:t>
      </w:r>
      <w:r/>
    </w:p>
    <w:p>
      <w:pPr>
        <w:ind w:left="0" w:right="0"/>
        <w:jc w:val="left"/>
        <w:keepNext w:val="0"/>
        <w:pageBreakBefore w:val="0"/>
        <w:spacing w:beforeAutospacing="0" w:afterAutospacing="0" w:line="48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val="0"/>
          <w:bCs w:val="0"/>
          <w:color w:val="auto"/>
          <w:sz w:val="21"/>
          <w:szCs w:val="21"/>
          <w:highlight w:val="none"/>
        </w:rPr>
        <w:t xml:space="preserve">3.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strike/>
          <w:color w:val="auto"/>
          <w:sz w:val="24"/>
          <w:szCs w:val="24"/>
          <w:highlight w:val="none"/>
        </w:rPr>
        <w:br w:type="page" w:clear="all"/>
      </w:r>
      <w:r/>
    </w:p>
    <w:p>
      <w:pPr>
        <w:pStyle w:val="864"/>
        <w:ind w:left="0" w:right="0"/>
        <w:jc w:val="left"/>
        <w:keepLines/>
        <w:keepNext w:val="0"/>
        <w:pageBreakBefore w:val="0"/>
        <w:spacing w:before="0" w:beforeAutospacing="0" w:after="0" w:afterAutospacing="0" w:line="480" w:lineRule="exact"/>
        <w:widowControl w:val="off"/>
        <w:rPr>
          <w:rFonts w:hint="eastAsia" w:ascii="宋体" w:hAnsi="宋体" w:eastAsia="宋体" w:cs="宋体"/>
          <w:b/>
          <w:bCs w:val="0"/>
          <w:color w:val="auto"/>
          <w:sz w:val="32"/>
          <w:szCs w:val="32"/>
          <w:highlight w:val="none"/>
          <w:lang w:val="en-US" w:eastAsia="zh-CN" w:bidi="ar-SA"/>
        </w:rPr>
        <w:outlineLvl w:val="9"/>
      </w:pPr>
      <w:r>
        <w:rPr>
          <w:rFonts w:hint="eastAsia" w:ascii="宋体" w:hAnsi="宋体" w:eastAsia="宋体" w:cs="宋体"/>
          <w:b/>
          <w:bCs w:val="0"/>
          <w:color w:val="auto"/>
          <w:sz w:val="32"/>
          <w:szCs w:val="32"/>
          <w:highlight w:val="none"/>
          <w:lang w:val="en-US" w:eastAsia="zh-CN" w:bidi="ar-SA"/>
        </w:rPr>
        <w:t xml:space="preserve">七、中小企业或残疾人福利性单位声明函</w:t>
      </w:r>
      <w:r/>
    </w:p>
    <w:p>
      <w:pPr>
        <w:pStyle w:val="1170"/>
        <w:ind w:left="0" w:right="0"/>
        <w:jc w:val="center"/>
        <w:keepNext w:val="0"/>
        <w:pageBreakBefore w:val="0"/>
        <w:spacing w:beforeAutospacing="0" w:afterAutospacing="0" w:line="480" w:lineRule="exact"/>
        <w:rPr>
          <w:rStyle w:val="1050"/>
          <w:rFonts w:hint="eastAsia" w:ascii="宋体" w:hAnsi="宋体" w:eastAsia="宋体" w:cs="宋体"/>
          <w:b/>
          <w:color w:val="auto"/>
          <w:sz w:val="24"/>
          <w:szCs w:val="24"/>
          <w:highlight w:val="none"/>
        </w:rPr>
      </w:pPr>
      <w:r>
        <w:rPr>
          <w:rStyle w:val="1050"/>
          <w:rFonts w:hint="eastAsia" w:ascii="宋体" w:hAnsi="宋体" w:eastAsia="宋体" w:cs="宋体"/>
          <w:b/>
          <w:color w:val="auto"/>
          <w:sz w:val="24"/>
          <w:szCs w:val="24"/>
          <w:highlight w:val="none"/>
        </w:rPr>
        <w:t xml:space="preserve">中小微企业声明函</w:t>
      </w:r>
      <w:r/>
    </w:p>
    <w:p>
      <w:pPr>
        <w:pStyle w:val="1170"/>
        <w:ind w:left="0" w:right="0"/>
        <w:jc w:val="center"/>
        <w:keepNext w:val="0"/>
        <w:pageBreakBefore w:val="0"/>
        <w:spacing w:beforeAutospacing="0" w:afterAutospacing="0" w:line="480" w:lineRule="exact"/>
        <w:rPr>
          <w:rStyle w:val="1050"/>
          <w:rFonts w:hint="eastAsia" w:ascii="宋体" w:hAnsi="宋体" w:eastAsia="宋体" w:cs="宋体"/>
          <w:b/>
          <w:color w:val="auto"/>
          <w:sz w:val="24"/>
          <w:szCs w:val="24"/>
          <w:highlight w:val="none"/>
        </w:rPr>
      </w:pPr>
      <w:r>
        <w:rPr>
          <w:rStyle w:val="1050"/>
          <w:rFonts w:hint="eastAsia" w:ascii="宋体" w:hAnsi="宋体" w:eastAsia="宋体" w:cs="宋体"/>
          <w:b/>
          <w:color w:val="auto"/>
          <w:sz w:val="24"/>
          <w:szCs w:val="24"/>
          <w:highlight w:val="none"/>
        </w:rPr>
        <w:t xml:space="preserve">（货物类项目）</w:t>
      </w:r>
      <w:r/>
    </w:p>
    <w:p>
      <w:pPr>
        <w:ind w:left="0" w:right="0" w:firstLine="36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泗洪县公安局</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雪亮工程社会面联网项目（二标段）</w:t>
      </w:r>
      <w:r>
        <w:rPr>
          <w:rFonts w:hint="eastAsia" w:ascii="宋体" w:hAnsi="宋体" w:eastAsia="宋体" w:cs="宋体"/>
          <w:color w:val="auto"/>
          <w:sz w:val="24"/>
          <w:szCs w:val="24"/>
          <w:highlight w:val="none"/>
          <w:u w:val="single"/>
        </w:rPr>
        <w:t xml:space="preserve">（分包号：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36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36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firstLine="24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36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36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360"/>
        <w:jc w:val="righ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360"/>
        <w:jc w:val="righ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企业名称（加盖CA电子公章）：</w:t>
      </w:r>
      <w:r/>
    </w:p>
    <w:p>
      <w:pPr>
        <w:ind w:left="0" w:right="0" w:firstLine="540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right="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numPr>
          <w:ilvl w:val="0"/>
          <w:numId w:val="0"/>
        </w:numPr>
        <w:ind w:right="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专门面向中小微型企业采购的项目，供应商如不提供此声明函，则不能通过资格审查；非专门面向中小微型企业采购的项目，供应商如不提供此声明函，价格将不做相应扣除。</w:t>
      </w:r>
      <w:r/>
    </w:p>
    <w:p>
      <w:pPr>
        <w:numPr>
          <w:ilvl w:val="0"/>
          <w:numId w:val="0"/>
        </w:numPr>
        <w:ind w:right="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.此声明函将随成交结果同时公告，接受社会监督。</w:t>
      </w:r>
      <w:r/>
    </w:p>
    <w:p>
      <w:pPr>
        <w:numPr>
          <w:ilvl w:val="0"/>
          <w:numId w:val="0"/>
        </w:numPr>
        <w:ind w:right="0"/>
        <w:keepLines w:val="0"/>
        <w:keepNext w:val="0"/>
        <w:pageBreakBefore w:val="0"/>
        <w:spacing w:beforeAutospacing="0" w:afterAutospacing="0" w:line="440" w:lineRule="exact"/>
        <w:widowControl w:val="off"/>
        <w:rPr>
          <w:rFonts w:hint="eastAsia" w:ascii="宋体" w:hAnsi="宋体" w:eastAsia="宋体" w:cs="宋体"/>
          <w:i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.供应商自行勾选制造商的企业规模类</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b/>
          <w:color w:val="auto"/>
          <w:sz w:val="24"/>
          <w:szCs w:val="24"/>
          <w:highlight w:val="none"/>
        </w:rPr>
        <w:br w:type="page" w:clear="all"/>
      </w:r>
      <w:r/>
    </w:p>
    <w:p>
      <w:pPr>
        <w:pStyle w:val="1166"/>
        <w:ind w:left="0" w:right="0"/>
        <w:jc w:val="center"/>
        <w:keepNext w:val="0"/>
        <w:pageBreakBefore w:val="0"/>
        <w:spacing w:beforeAutospacing="0" w:afterAutospacing="0" w:line="480" w:lineRule="exact"/>
        <w:rPr>
          <w:rStyle w:val="1050"/>
          <w:rFonts w:hint="eastAsia" w:ascii="宋体" w:hAnsi="宋体" w:eastAsia="宋体" w:cs="宋体"/>
          <w:b/>
          <w:bCs/>
          <w:color w:val="auto"/>
          <w:sz w:val="24"/>
          <w:szCs w:val="24"/>
          <w:highlight w:val="none"/>
        </w:rPr>
      </w:pPr>
      <w:r>
        <w:rPr>
          <w:rStyle w:val="1050"/>
          <w:rFonts w:hint="eastAsia" w:ascii="宋体" w:hAnsi="宋体" w:eastAsia="宋体" w:cs="宋体"/>
          <w:b/>
          <w:bCs/>
          <w:color w:val="auto"/>
          <w:sz w:val="24"/>
          <w:szCs w:val="24"/>
          <w:highlight w:val="none"/>
        </w:rPr>
        <w:t xml:space="preserve">残疾人福利性单位声明函</w:t>
      </w:r>
      <w:r/>
    </w:p>
    <w:p>
      <w:pPr>
        <w:pStyle w:val="1173"/>
        <w:ind w:left="0" w:right="0"/>
        <w:keepNext w:val="0"/>
        <w:pageBreakBefore w:val="0"/>
        <w:spacing w:beforeAutospacing="0" w:afterAutospacing="0" w:line="480" w:lineRule="exact"/>
        <w:rPr>
          <w:rStyle w:val="1050"/>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备注</w:t>
      </w:r>
      <w:r>
        <w:rPr>
          <w:rFonts w:hint="eastAsia" w:ascii="宋体" w:hAnsi="宋体" w:eastAsia="宋体" w:cs="宋体"/>
          <w:color w:val="auto"/>
          <w:sz w:val="24"/>
          <w:szCs w:val="24"/>
          <w:highlight w:val="none"/>
        </w:rPr>
        <w:t xml:space="preserve">：非残疾人福利性单位不需提供此函。）</w:t>
      </w:r>
      <w:r/>
    </w:p>
    <w:p>
      <w:pPr>
        <w:ind w:left="0" w:right="0" w:firstLine="624"/>
        <w:keepNext w:val="0"/>
        <w:pageBreakBefore w:val="0"/>
        <w:spacing w:beforeAutospacing="0" w:afterAutospacing="0"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150"/>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360"/>
        <w:jc w:val="right"/>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left="0" w:right="0"/>
        <w:jc w:val="right"/>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0" w:right="0" w:firstLine="480"/>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4"/>
          <w:szCs w:val="24"/>
          <w:highlight w:val="none"/>
        </w:rPr>
      </w:r>
      <w:r/>
    </w:p>
    <w:p>
      <w:pPr>
        <w:ind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32"/>
          <w:szCs w:val="32"/>
          <w:highlight w:val="none"/>
          <w:lang w:val="en-US" w:eastAsia="zh-CN" w:bidi="ar-SA"/>
        </w:rPr>
        <w:t xml:space="preserve">八、响应及偏离表</w:t>
      </w: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bookmarkStart w:id="68" w:name="_Toc22721"/>
      <w:r>
        <w:rPr>
          <w:rFonts w:hint="eastAsia" w:ascii="宋体" w:hAnsi="宋体" w:eastAsia="宋体" w:cs="宋体"/>
          <w:b/>
          <w:color w:val="auto"/>
          <w:sz w:val="24"/>
          <w:szCs w:val="24"/>
          <w:highlight w:val="none"/>
        </w:rPr>
        <w:t xml:space="preserve"> 技术要求响应及偏离表</w:t>
      </w:r>
      <w:bookmarkEnd w:id="68"/>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918"/>
        <w:gridCol w:w="3024"/>
        <w:gridCol w:w="20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69" w:name="_Toc6706"/>
      <w:r/>
      <w:bookmarkStart w:id="70" w:name="_Toc29218"/>
      <w:r>
        <w:rPr>
          <w:rFonts w:hint="eastAsia" w:ascii="宋体" w:hAnsi="宋体" w:eastAsia="宋体" w:cs="宋体"/>
          <w:color w:val="auto"/>
          <w:sz w:val="24"/>
          <w:szCs w:val="24"/>
          <w:highlight w:val="none"/>
        </w:rPr>
        <w:t xml:space="preserve">附件3-1  证明材料1，证明材料2，……</w:t>
      </w:r>
      <w:bookmarkEnd w:id="69"/>
      <w:r/>
      <w:bookmarkEnd w:id="70"/>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企业名称：（加盖CA电子公章）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1.投标人需对技术要求（未加斜体下划线的非实质性要求）逐条做出明确响应。</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bookmarkStart w:id="71" w:name="_Toc1634"/>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商务要求响应及偏离表</w:t>
      </w:r>
      <w:bookmarkEnd w:id="71"/>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918"/>
        <w:gridCol w:w="3024"/>
        <w:gridCol w:w="20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72" w:name="_Toc19771"/>
      <w:r/>
      <w:bookmarkStart w:id="73" w:name="_Toc1727"/>
      <w:r>
        <w:rPr>
          <w:rFonts w:hint="eastAsia" w:ascii="宋体" w:hAnsi="宋体" w:eastAsia="宋体" w:cs="宋体"/>
          <w:color w:val="auto"/>
          <w:sz w:val="24"/>
          <w:szCs w:val="24"/>
          <w:highlight w:val="none"/>
        </w:rPr>
        <w:t xml:space="preserve">附件4-1  证明材料1，证明材料2，……</w:t>
      </w:r>
      <w:bookmarkEnd w:id="72"/>
      <w:r/>
      <w:bookmarkEnd w:id="73"/>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企业名称：（加盖CA电子公章）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1.投标人需对商务要求（未加斜体下划线的非实质性要求）逐条做出明确响应。</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pStyle w:val="1145"/>
        <w:ind w:left="0" w:right="0"/>
        <w:keepNext w:val="0"/>
        <w:pageBreakBefore w:val="0"/>
        <w:spacing w:beforeAutospacing="0" w:afterAutospacing="0" w:line="480" w:lineRule="exact"/>
        <w:rPr>
          <w:rFonts w:hint="eastAsia" w:ascii="宋体" w:hAnsi="宋体" w:eastAsia="宋体" w:cs="宋体"/>
          <w:b/>
          <w:bCs w:val="0"/>
          <w:color w:val="auto"/>
          <w:sz w:val="32"/>
          <w:szCs w:val="32"/>
          <w:highlight w:val="none"/>
          <w:lang w:val="en-US" w:eastAsia="zh-CN" w:bidi="ar-SA"/>
        </w:rPr>
        <w:outlineLvl w:val="1"/>
      </w:pPr>
      <w:r>
        <w:rPr>
          <w:rFonts w:hint="eastAsia" w:ascii="宋体" w:hAnsi="宋体" w:eastAsia="宋体" w:cs="宋体"/>
          <w:b/>
          <w:bCs w:val="0"/>
          <w:color w:val="auto"/>
          <w:sz w:val="32"/>
          <w:szCs w:val="32"/>
          <w:highlight w:val="none"/>
          <w:lang w:val="en-US" w:eastAsia="zh-CN" w:bidi="ar-SA"/>
        </w:rPr>
        <w:t xml:space="preserve">九、项目组人员</w:t>
      </w:r>
      <w:r/>
    </w:p>
    <w:p>
      <w:pPr>
        <w:pStyle w:val="1101"/>
        <w:ind w:left="0" w:right="0"/>
        <w:jc w:val="center"/>
        <w:keepNext w:val="0"/>
        <w:pageBreakBefore w:val="0"/>
        <w:spacing w:before="0" w:beforeAutospacing="0" w:after="0" w:afterAutospacing="0"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项目组成员</w:t>
      </w:r>
      <w:r/>
    </w:p>
    <w:tbl>
      <w:tblPr>
        <w:tblStyle w:val="81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6"/>
              <w:ind w:left="0" w:right="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843" w:type="dxa"/>
            <w:vAlign w:val="center"/>
            <w:textDirection w:val="lrTb"/>
            <w:noWrap w:val="false"/>
          </w:tcPr>
          <w:p>
            <w:pPr>
              <w:pStyle w:val="1126"/>
              <w:ind w:left="0" w:right="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992" w:type="dxa"/>
            <w:vAlign w:val="center"/>
            <w:textDirection w:val="lrTb"/>
            <w:noWrap w:val="false"/>
          </w:tcPr>
          <w:p>
            <w:pPr>
              <w:pStyle w:val="1126"/>
              <w:ind w:left="0" w:right="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84" w:type="dxa"/>
            <w:vAlign w:val="center"/>
            <w:textDirection w:val="lrTb"/>
            <w:noWrap w:val="false"/>
          </w:tcPr>
          <w:p>
            <w:pPr>
              <w:pStyle w:val="1126"/>
              <w:ind w:left="0" w:right="0" w:firstLine="280"/>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W w:w="1702" w:type="dxa"/>
            <w:vAlign w:val="center"/>
            <w:textDirection w:val="lrTb"/>
            <w:noWrap w:val="false"/>
          </w:tcPr>
          <w:p>
            <w:pPr>
              <w:pStyle w:val="1126"/>
              <w:ind w:left="0" w:right="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962" w:type="dxa"/>
            <w:vAlign w:val="center"/>
            <w:textDirection w:val="lrTb"/>
            <w:noWrap w:val="false"/>
          </w:tcPr>
          <w:p>
            <w:pPr>
              <w:pStyle w:val="1126"/>
              <w:ind w:left="0" w:right="0"/>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01"/>
              <w:ind w:left="0" w:right="0"/>
              <w:jc w:val="center"/>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项目经理</w:t>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01"/>
              <w:ind w:left="0" w:right="0"/>
              <w:jc w:val="center"/>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01"/>
              <w:ind w:left="0" w:right="0" w:firstLine="280"/>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01"/>
              <w:ind w:left="0" w:right="0"/>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01"/>
              <w:ind w:left="0" w:right="0"/>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1126"/>
              <w:ind w:left="0" w:right="0" w:firstLine="560"/>
              <w:jc w:val="center"/>
              <w:keepNext w:val="0"/>
              <w:pageBreakBefore w:val="0"/>
              <w:spacing w:beforeAutospacing="0" w:after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01"/>
        <w:ind w:left="0" w:right="0" w:firstLine="398"/>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注：如供应商中标，项目组成员必须按本表承诺人员操作，不得随意更换。按招标文件要求附相关人员证书。</w:t>
      </w:r>
      <w:r/>
    </w:p>
    <w:p>
      <w:pPr>
        <w:pStyle w:val="1101"/>
        <w:ind w:left="0" w:right="0" w:firstLine="280"/>
        <w:keepNext w:val="0"/>
        <w:pageBreakBefore w:val="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6"/>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74" w:name="_Toc11176"/>
      <w:r>
        <w:rPr>
          <w:rFonts w:hint="eastAsia" w:ascii="宋体" w:hAnsi="宋体" w:eastAsia="宋体" w:cs="宋体"/>
          <w:b/>
          <w:bCs w:val="0"/>
          <w:color w:val="auto"/>
          <w:sz w:val="32"/>
          <w:szCs w:val="32"/>
          <w:highlight w:val="none"/>
          <w:lang w:val="en-US" w:eastAsia="zh-CN" w:bidi="ar-SA"/>
        </w:rPr>
        <w:t xml:space="preserve">十、</w:t>
      </w:r>
      <w:bookmarkEnd w:id="74"/>
      <w:r>
        <w:rPr>
          <w:rFonts w:hint="eastAsia" w:ascii="宋体" w:hAnsi="宋体" w:eastAsia="宋体" w:cs="宋体"/>
          <w:b/>
          <w:bCs w:val="0"/>
          <w:color w:val="auto"/>
          <w:sz w:val="32"/>
          <w:szCs w:val="32"/>
          <w:highlight w:val="none"/>
          <w:lang w:val="en-US" w:eastAsia="zh-CN" w:bidi="ar-SA"/>
        </w:rPr>
        <w:t xml:space="preserve">企业业绩</w:t>
      </w:r>
      <w:r/>
    </w:p>
    <w:p>
      <w:pPr>
        <w:pStyle w:val="1136"/>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投标人承担类似项目业绩一览表</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7"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433"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95"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r>
      <w:tr>
        <w:trPr>
          <w:jc w:val="center"/>
          <w:trHeight w:val="1510"/>
        </w:trPr>
        <w:tc>
          <w:tcPr>
            <w:tcW w:w="1229" w:type="dxa"/>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25"/>
        </w:trPr>
        <w:tc>
          <w:tcPr>
            <w:tcW w:w="1229" w:type="dxa"/>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1174"/>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6"/>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pStyle w:val="1186"/>
        <w:ind w:left="0" w:right="0"/>
        <w:keepNext w:val="0"/>
        <w:pageBreakBefore w:val="0"/>
        <w:spacing w:beforeAutospacing="0" w:afterAutospacing="0" w:line="48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val="0"/>
          <w:color w:val="auto"/>
          <w:sz w:val="32"/>
          <w:szCs w:val="32"/>
          <w:highlight w:val="none"/>
          <w:lang w:val="en-US" w:eastAsia="zh-CN" w:bidi="ar-SA"/>
        </w:rPr>
        <w:t xml:space="preserve">十一、项目实施</w:t>
      </w:r>
      <w:r/>
    </w:p>
    <w:p>
      <w:pPr>
        <w:pStyle w:val="1186"/>
        <w:ind w:left="0" w:right="0"/>
        <w:keepNext w:val="0"/>
        <w:pageBreakBefore w:val="0"/>
        <w:spacing w:beforeAutospacing="0" w:afterAutospacing="0" w:line="48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t xml:space="preserve">根据评分办法自行编制</w:t>
      </w:r>
      <w:r/>
    </w:p>
    <w:p>
      <w:pPr>
        <w:pStyle w:val="1186"/>
        <w:ind w:left="0" w:right="0"/>
        <w:keepNext w:val="0"/>
        <w:pageBreakBefore w:val="0"/>
        <w:spacing w:beforeAutospacing="0" w:after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86"/>
        <w:ind w:left="0" w:right="0"/>
        <w:keepNext w:val="0"/>
        <w:pageBreakBefore w:val="0"/>
        <w:spacing w:beforeAutospacing="0" w:afterAutospacing="0" w:line="480" w:lineRule="exact"/>
        <w:rPr>
          <w:rFonts w:hint="eastAsia" w:ascii="宋体" w:hAnsi="宋体" w:eastAsia="宋体" w:cs="宋体"/>
          <w:b/>
          <w:bCs w:val="0"/>
          <w:color w:val="auto"/>
          <w:sz w:val="32"/>
          <w:szCs w:val="32"/>
          <w:highlight w:val="none"/>
          <w:lang w:val="en-US" w:eastAsia="zh-CN" w:bidi="ar-SA"/>
        </w:rPr>
        <w:sectPr>
          <w:footnotePr/>
          <w:endnotePr/>
          <w:type w:val="nextPage"/>
          <w:pgSz w:w="11906" w:h="16838" w:orient="portrait"/>
          <w:pgMar w:top="1440" w:right="1800" w:bottom="1440" w:left="1800" w:header="851" w:footer="907" w:gutter="0"/>
          <w:cols w:num="1" w:sep="0" w:space="1701" w:equalWidth="1"/>
          <w:docGrid w:linePitch="360"/>
          <w:titlePg/>
        </w:sectPr>
        <w:outlineLvl w:val="1"/>
      </w:pPr>
      <w:r>
        <w:rPr>
          <w:rFonts w:hint="eastAsia" w:ascii="宋体" w:hAnsi="宋体" w:eastAsia="宋体" w:cs="宋体"/>
          <w:b/>
          <w:bCs w:val="0"/>
          <w:color w:val="auto"/>
          <w:sz w:val="32"/>
          <w:szCs w:val="32"/>
          <w:highlight w:val="none"/>
          <w:lang w:val="en-US" w:eastAsia="zh-CN" w:bidi="ar-SA"/>
        </w:rPr>
      </w:r>
      <w:r/>
    </w:p>
    <w:p>
      <w:pPr>
        <w:pStyle w:val="1186"/>
        <w:ind w:left="0" w:right="0"/>
        <w:keepNext w:val="0"/>
        <w:pageBreakBefore w:val="0"/>
        <w:spacing w:beforeAutospacing="0" w:afterAutospacing="0" w:line="480" w:lineRule="exact"/>
        <w:rPr>
          <w:rFonts w:hint="default" w:ascii="宋体" w:hAnsi="宋体" w:eastAsia="宋体" w:cs="宋体"/>
          <w:b/>
          <w:bCs w:val="0"/>
          <w:color w:val="auto"/>
          <w:sz w:val="32"/>
          <w:szCs w:val="32"/>
          <w:highlight w:val="none"/>
          <w:lang w:val="en-US" w:eastAsia="zh-CN" w:bidi="ar-SA"/>
        </w:rPr>
        <w:outlineLvl w:val="1"/>
      </w:pPr>
      <w:r>
        <w:rPr>
          <w:rFonts w:hint="eastAsia" w:ascii="宋体" w:hAnsi="宋体" w:eastAsia="宋体" w:cs="宋体"/>
          <w:b/>
          <w:bCs w:val="0"/>
          <w:color w:val="auto"/>
          <w:sz w:val="32"/>
          <w:szCs w:val="32"/>
          <w:highlight w:val="none"/>
          <w:lang w:val="en-US" w:eastAsia="zh-CN" w:bidi="ar-SA"/>
        </w:rPr>
        <w:t xml:space="preserve">十二、售后服务</w:t>
      </w:r>
      <w:r/>
    </w:p>
    <w:p>
      <w:pPr>
        <w:pStyle w:val="1186"/>
        <w:ind w:left="0" w:right="0"/>
        <w:keepNext w:val="0"/>
        <w:pageBreakBefore w:val="0"/>
        <w:spacing w:beforeAutospacing="0" w:afterAutospacing="0" w:line="480" w:lineRule="exact"/>
        <w:rPr>
          <w:rFonts w:hint="eastAsia" w:ascii="宋体" w:hAnsi="宋体" w:eastAsia="宋体" w:cs="宋体"/>
          <w:b/>
          <w:bCs w:val="0"/>
          <w:color w:val="auto"/>
          <w:sz w:val="32"/>
          <w:szCs w:val="32"/>
          <w:highlight w:val="none"/>
          <w:lang w:val="en-US" w:eastAsia="zh-CN" w:bidi="ar-SA"/>
        </w:rPr>
        <w:sectPr>
          <w:footnotePr/>
          <w:endnotePr/>
          <w:type w:val="nextPage"/>
          <w:pgSz w:w="11906" w:h="16838" w:orient="portrait"/>
          <w:pgMar w:top="1440" w:right="1800" w:bottom="1440" w:left="1800" w:header="851" w:footer="907" w:gutter="0"/>
          <w:cols w:num="1" w:sep="0" w:space="1701" w:equalWidth="1"/>
          <w:docGrid w:linePitch="360"/>
          <w:titlePg/>
        </w:sectPr>
        <w:outlineLvl w:val="9"/>
      </w:pPr>
      <w:r>
        <w:rPr>
          <w:rFonts w:hint="eastAsia" w:ascii="宋体" w:hAnsi="宋体" w:eastAsia="宋体" w:cs="宋体"/>
          <w:b w:val="0"/>
          <w:color w:val="auto"/>
          <w:sz w:val="24"/>
          <w:szCs w:val="24"/>
          <w:highlight w:val="none"/>
        </w:rPr>
        <w:t xml:space="preserve">根据评分办法自行编制</w:t>
      </w:r>
      <w:r/>
    </w:p>
    <w:p>
      <w:pPr>
        <w:pStyle w:val="1186"/>
        <w:ind w:left="0" w:right="0"/>
        <w:keepNext w:val="0"/>
        <w:pageBreakBefore w:val="0"/>
        <w:spacing w:beforeAutospacing="0" w:afterAutospacing="0" w:line="480" w:lineRule="exact"/>
        <w:rPr>
          <w:rFonts w:hint="eastAsia" w:ascii="宋体" w:hAnsi="宋体" w:eastAsia="宋体" w:cs="宋体"/>
          <w:b/>
          <w:bCs w:val="0"/>
          <w:color w:val="auto"/>
          <w:sz w:val="32"/>
          <w:szCs w:val="32"/>
          <w:highlight w:val="none"/>
          <w:lang w:val="en-US" w:eastAsia="zh-CN" w:bidi="ar-SA"/>
        </w:rPr>
        <w:outlineLvl w:val="1"/>
      </w:pPr>
      <w:r>
        <w:rPr>
          <w:rFonts w:hint="eastAsia" w:ascii="宋体" w:hAnsi="宋体" w:eastAsia="宋体" w:cs="宋体"/>
          <w:b/>
          <w:bCs w:val="0"/>
          <w:color w:val="auto"/>
          <w:sz w:val="32"/>
          <w:szCs w:val="32"/>
          <w:highlight w:val="none"/>
          <w:lang w:val="en-US" w:eastAsia="zh-CN" w:bidi="ar-SA"/>
        </w:rPr>
        <w:t xml:space="preserve">十三、投标所需其他材料</w:t>
      </w:r>
      <w:r/>
    </w:p>
    <w:p>
      <w:pPr>
        <w:pStyle w:val="1182"/>
        <w:ind w:left="0" w:right="0" w:firstLine="56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pStyle w:val="821"/>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1"/>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1"/>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1"/>
        <w:ind w:left="0" w:right="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Next w:val="0"/>
        <w:pageBreakBefore w:val="0"/>
        <w:spacing w:beforeAutospacing="0" w:afterAutospacing="0" w:line="48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07" w:gutter="0"/>
          <w:cols w:num="1" w:sep="0" w:space="1701" w:equalWidth="1"/>
          <w:docGrid w:linePitch="360"/>
          <w:titlePg/>
        </w:sectPr>
        <w:outlineLvl w:val="0"/>
      </w:pPr>
      <w:r/>
      <w:bookmarkStart w:id="75" w:name="_Toc5358"/>
      <w:r/>
      <w:bookmarkStart w:id="76" w:name="_Toc13867"/>
      <w:r/>
      <w:r/>
    </w:p>
    <w:p>
      <w:pPr>
        <w:ind w:left="0" w:right="0"/>
        <w:jc w:val="center"/>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质疑函范本</w:t>
      </w:r>
      <w:bookmarkEnd w:id="75"/>
      <w:r/>
      <w:bookmarkEnd w:id="76"/>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77" w:name="_Toc2870"/>
      <w:r/>
      <w:bookmarkStart w:id="78" w:name="_Toc9522"/>
      <w:r>
        <w:rPr>
          <w:rFonts w:hint="eastAsia" w:ascii="宋体" w:hAnsi="宋体" w:eastAsia="宋体" w:cs="宋体"/>
          <w:color w:val="auto"/>
          <w:sz w:val="24"/>
          <w:szCs w:val="24"/>
          <w:highlight w:val="none"/>
        </w:rPr>
        <w:t xml:space="preserve">一、质疑供应商基本信息</w:t>
      </w:r>
      <w:bookmarkEnd w:id="77"/>
      <w:r/>
      <w:bookmarkEnd w:id="78"/>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79" w:name="_Toc7408"/>
      <w:r/>
      <w:bookmarkStart w:id="80" w:name="_Toc2705"/>
      <w:r>
        <w:rPr>
          <w:rFonts w:hint="eastAsia" w:ascii="宋体" w:hAnsi="宋体" w:eastAsia="宋体" w:cs="宋体"/>
          <w:color w:val="auto"/>
          <w:sz w:val="24"/>
          <w:szCs w:val="24"/>
          <w:highlight w:val="none"/>
        </w:rPr>
        <w:t xml:space="preserve">二、质疑项目基本情况</w:t>
      </w:r>
      <w:bookmarkEnd w:id="79"/>
      <w:r/>
      <w:bookmarkEnd w:id="80"/>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81" w:name="_Toc15520"/>
      <w:r/>
      <w:bookmarkStart w:id="82" w:name="_Toc9698"/>
      <w:r>
        <w:rPr>
          <w:rFonts w:hint="eastAsia" w:ascii="宋体" w:hAnsi="宋体" w:eastAsia="宋体" w:cs="宋体"/>
          <w:color w:val="auto"/>
          <w:sz w:val="24"/>
          <w:szCs w:val="24"/>
          <w:highlight w:val="none"/>
        </w:rPr>
        <w:t xml:space="preserve">三、质疑事项具体内容</w:t>
      </w:r>
      <w:bookmarkEnd w:id="81"/>
      <w:r/>
      <w:bookmarkEnd w:id="82"/>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质疑事项2</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83" w:name="_Toc2214"/>
      <w:r/>
      <w:bookmarkStart w:id="84" w:name="_Toc2000"/>
      <w:r>
        <w:rPr>
          <w:rFonts w:hint="eastAsia" w:ascii="宋体" w:hAnsi="宋体" w:eastAsia="宋体" w:cs="宋体"/>
          <w:color w:val="auto"/>
          <w:sz w:val="24"/>
          <w:szCs w:val="24"/>
          <w:highlight w:val="none"/>
        </w:rPr>
        <w:t xml:space="preserve">四、与质疑事项相关的质疑请求</w:t>
      </w:r>
      <w:bookmarkEnd w:id="83"/>
      <w:r/>
      <w:bookmarkEnd w:id="84"/>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签字(签章)：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公章：                      </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0" w:right="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质疑函制作说明：</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1.供应商提出质疑时，应提交质疑函和必要的证明材料。</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5.质疑函的质疑请求应与质疑事项相关。</w:t>
      </w:r>
      <w:r/>
    </w:p>
    <w:p>
      <w:pPr>
        <w:ind w:left="0" w:right="0" w:firstLine="480"/>
        <w:keepNext w:val="0"/>
        <w:pageBreakBefore w:val="0"/>
        <w:spacing w:beforeAutospacing="0" w:afterAutospacing="0" w:line="4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6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6"/>
      <w:isLgl w:val="false"/>
      <w:suff w:val="nothing"/>
      <w:lvlText w:val=""/>
      <w:lvlJc w:val="left"/>
      <w:pPr>
        <w:ind w:left="0" w:firstLine="0"/>
      </w:pPr>
      <w:rPr>
        <w:rFonts w:hint="eastAsia"/>
      </w:rPr>
    </w:lvl>
    <w:lvl w:ilvl="6">
      <w:start w:val="1"/>
      <w:numFmt w:val="decimal"/>
      <w:pStyle w:val="1047"/>
      <w:isLgl w:val="false"/>
      <w:suff w:val="nothing"/>
      <w:lvlText w:val=""/>
      <w:lvlJc w:val="left"/>
      <w:pPr>
        <w:ind w:left="0" w:firstLine="0"/>
      </w:pPr>
      <w:rPr>
        <w:rFonts w:hint="eastAsia"/>
      </w:rPr>
    </w:lvl>
    <w:lvl w:ilvl="7">
      <w:start w:val="1"/>
      <w:numFmt w:val="decimal"/>
      <w:pStyle w:val="1048"/>
      <w:isLgl w:val="false"/>
      <w:suff w:val="nothing"/>
      <w:lvlText w:val=""/>
      <w:lvlJc w:val="left"/>
      <w:pPr>
        <w:ind w:left="0" w:firstLine="0"/>
      </w:pPr>
      <w:rPr>
        <w:rFonts w:hint="eastAsia"/>
      </w:rPr>
    </w:lvl>
    <w:lvl w:ilvl="8">
      <w:start w:val="1"/>
      <w:numFmt w:val="decimal"/>
      <w:pStyle w:val="1049"/>
      <w:isLgl w:val="false"/>
      <w:suff w:val="nothing"/>
      <w:lvlText w:val=""/>
      <w:lvlJc w:val="left"/>
      <w:pPr>
        <w:ind w:left="0" w:firstLine="0"/>
      </w:pPr>
      <w:rPr>
        <w:rFonts w:hint="eastAsia"/>
      </w:rPr>
    </w:lvl>
  </w:abstractNum>
  <w:abstractNum w:abstractNumId="8">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33"/>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59"/>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10"/>
  </w:num>
  <w:num w:numId="2">
    <w:abstractNumId w:val="7"/>
  </w:num>
  <w:num w:numId="3">
    <w:abstractNumId w:val="11"/>
  </w:num>
  <w:num w:numId="4">
    <w:abstractNumId w:val="4"/>
  </w:num>
  <w:num w:numId="5">
    <w:abstractNumId w:val="6"/>
  </w:num>
  <w:num w:numId="6">
    <w:abstractNumId w:val="1"/>
  </w:num>
  <w:num w:numId="7">
    <w:abstractNumId w:val="9"/>
  </w:num>
  <w:num w:numId="8">
    <w:abstractNumId w:val="2"/>
  </w:num>
  <w:num w:numId="9">
    <w:abstractNumId w:val="8"/>
  </w:num>
  <w:num w:numId="10">
    <w:abstractNumId w:val="0"/>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Quote Char"/>
    <w:link w:val="883"/>
    <w:uiPriority w:val="29"/>
    <w:rPr>
      <w:i/>
    </w:rPr>
  </w:style>
  <w:style w:type="character" w:styleId="785">
    <w:name w:val="Intense Quote Char"/>
    <w:link w:val="885"/>
    <w:uiPriority w:val="30"/>
    <w:rPr>
      <w:i/>
    </w:rPr>
  </w:style>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link w:val="1050"/>
    <w:uiPriority w:val="0"/>
    <w:qFormat/>
    <w:pPr>
      <w:jc w:val="both"/>
      <w:widowControl w:val="off"/>
    </w:pPr>
    <w:rPr>
      <w:rFonts w:ascii="Times New Roman" w:hAnsi="Times New Roman" w:eastAsia="宋体" w:cs="Times New Roman"/>
      <w:sz w:val="21"/>
      <w:szCs w:val="21"/>
      <w:lang w:val="en-US" w:eastAsia="zh-CN" w:bidi="ar-SA"/>
    </w:rPr>
  </w:style>
  <w:style w:type="paragraph" w:styleId="807">
    <w:name w:val="Heading 1"/>
    <w:basedOn w:val="806"/>
    <w:next w:val="806"/>
    <w:link w:val="91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917"/>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918"/>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919"/>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920"/>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921"/>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923"/>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924"/>
    <w:uiPriority w:val="9"/>
    <w:unhideWhenUsed/>
    <w:qFormat/>
    <w:pPr>
      <w:keepLines/>
      <w:keepNext/>
      <w:spacing w:before="320" w:after="200"/>
      <w:outlineLvl w:val="8"/>
    </w:pPr>
    <w:rPr>
      <w:rFonts w:ascii="Arial" w:hAnsi="Arial" w:eastAsia="Arial" w:cs="Arial"/>
      <w:i/>
      <w:iCs/>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spacing w:after="57"/>
    </w:pPr>
  </w:style>
  <w:style w:type="paragraph" w:styleId="819">
    <w:name w:val="Normal Indent"/>
    <w:basedOn w:val="806"/>
    <w:next w:val="806"/>
    <w:uiPriority w:val="99"/>
    <w:qFormat/>
    <w:pPr>
      <w:ind w:firstLine="420"/>
    </w:pPr>
  </w:style>
  <w:style w:type="paragraph" w:styleId="820">
    <w:name w:val="Caption"/>
    <w:basedOn w:val="806"/>
    <w:next w:val="806"/>
    <w:uiPriority w:val="35"/>
    <w:unhideWhenUsed/>
    <w:qFormat/>
    <w:pPr>
      <w:spacing w:line="276" w:lineRule="auto"/>
    </w:pPr>
    <w:rPr>
      <w:b/>
      <w:bCs/>
      <w:color w:val="4f81bd"/>
      <w:sz w:val="18"/>
      <w:szCs w:val="18"/>
    </w:rPr>
  </w:style>
  <w:style w:type="paragraph" w:styleId="821">
    <w:name w:val="Body Text"/>
    <w:basedOn w:val="806"/>
    <w:next w:val="819"/>
    <w:uiPriority w:val="0"/>
    <w:qFormat/>
    <w:pPr>
      <w:spacing w:line="60" w:lineRule="auto"/>
    </w:pPr>
    <w:rPr>
      <w:rFonts w:ascii="仿宋_GB2312" w:eastAsia="仿宋_GB2312"/>
      <w:sz w:val="32"/>
    </w:rPr>
  </w:style>
  <w:style w:type="paragraph" w:styleId="822">
    <w:name w:val="Body Text Indent"/>
    <w:basedOn w:val="806"/>
    <w:uiPriority w:val="0"/>
    <w:qFormat/>
    <w:pPr>
      <w:ind w:firstLine="225"/>
    </w:pPr>
    <w:rPr>
      <w:rFonts w:ascii="仿宋_GB2312" w:eastAsia="仿宋_GB2312"/>
      <w:sz w:val="32"/>
    </w:rPr>
  </w:style>
  <w:style w:type="paragraph" w:styleId="823">
    <w:name w:val="toc 5"/>
    <w:basedOn w:val="806"/>
    <w:next w:val="806"/>
    <w:uiPriority w:val="39"/>
    <w:unhideWhenUsed/>
    <w:qFormat/>
    <w:pPr>
      <w:ind w:left="1134"/>
      <w:spacing w:after="57"/>
    </w:pPr>
  </w:style>
  <w:style w:type="paragraph" w:styleId="824">
    <w:name w:val="toc 3"/>
    <w:basedOn w:val="806"/>
    <w:next w:val="806"/>
    <w:uiPriority w:val="39"/>
    <w:unhideWhenUsed/>
    <w:qFormat/>
    <w:pPr>
      <w:ind w:left="567"/>
      <w:spacing w:after="57"/>
    </w:pPr>
  </w:style>
  <w:style w:type="paragraph" w:styleId="825">
    <w:name w:val="Plain Text"/>
    <w:basedOn w:val="806"/>
    <w:next w:val="806"/>
    <w:uiPriority w:val="0"/>
    <w:qFormat/>
    <w:rPr>
      <w:rFonts w:ascii="宋体"/>
    </w:rPr>
  </w:style>
  <w:style w:type="paragraph" w:styleId="826">
    <w:name w:val="toc 8"/>
    <w:basedOn w:val="806"/>
    <w:next w:val="806"/>
    <w:uiPriority w:val="39"/>
    <w:unhideWhenUsed/>
    <w:qFormat/>
    <w:pPr>
      <w:ind w:left="1984"/>
      <w:spacing w:after="57"/>
    </w:pPr>
  </w:style>
  <w:style w:type="paragraph" w:styleId="827">
    <w:name w:val="endnote text"/>
    <w:basedOn w:val="806"/>
    <w:link w:val="1043"/>
    <w:uiPriority w:val="99"/>
    <w:unhideWhenUsed/>
    <w:qFormat/>
    <w:rPr>
      <w:sz w:val="20"/>
    </w:rPr>
  </w:style>
  <w:style w:type="paragraph" w:styleId="828">
    <w:name w:val="Footer"/>
    <w:basedOn w:val="806"/>
    <w:link w:val="935"/>
    <w:uiPriority w:val="99"/>
    <w:unhideWhenUsed/>
    <w:qFormat/>
    <w:pPr>
      <w:tabs>
        <w:tab w:val="center" w:pos="7143" w:leader="none"/>
        <w:tab w:val="right" w:pos="14287" w:leader="none"/>
      </w:tabs>
    </w:pPr>
  </w:style>
  <w:style w:type="paragraph" w:styleId="829">
    <w:name w:val="Header"/>
    <w:basedOn w:val="806"/>
    <w:link w:val="933"/>
    <w:uiPriority w:val="99"/>
    <w:unhideWhenUsed/>
    <w:qFormat/>
    <w:pPr>
      <w:tabs>
        <w:tab w:val="center" w:pos="7143" w:leader="none"/>
        <w:tab w:val="right" w:pos="14287" w:leader="none"/>
      </w:tabs>
    </w:pPr>
  </w:style>
  <w:style w:type="paragraph" w:styleId="830">
    <w:name w:val="toc 1"/>
    <w:basedOn w:val="806"/>
    <w:next w:val="806"/>
    <w:uiPriority w:val="39"/>
    <w:unhideWhenUsed/>
    <w:qFormat/>
    <w:pPr>
      <w:spacing w:after="57"/>
    </w:pPr>
  </w:style>
  <w:style w:type="paragraph" w:styleId="831">
    <w:name w:val="toc 4"/>
    <w:basedOn w:val="806"/>
    <w:next w:val="806"/>
    <w:uiPriority w:val="39"/>
    <w:unhideWhenUsed/>
    <w:qFormat/>
    <w:pPr>
      <w:ind w:left="850"/>
      <w:spacing w:after="57"/>
    </w:pPr>
  </w:style>
  <w:style w:type="paragraph" w:styleId="832">
    <w:name w:val="Subtitle"/>
    <w:basedOn w:val="806"/>
    <w:next w:val="806"/>
    <w:link w:val="928"/>
    <w:uiPriority w:val="11"/>
    <w:qFormat/>
    <w:pPr>
      <w:spacing w:before="200" w:after="200"/>
    </w:pPr>
    <w:rPr>
      <w:sz w:val="24"/>
      <w:szCs w:val="24"/>
    </w:rPr>
  </w:style>
  <w:style w:type="paragraph" w:styleId="833">
    <w:name w:val="List Number 5"/>
    <w:basedOn w:val="806"/>
    <w:uiPriority w:val="99"/>
    <w:semiHidden/>
    <w:unhideWhenUsed/>
    <w:qFormat/>
    <w:pPr>
      <w:numPr>
        <w:ilvl w:val="0"/>
        <w:numId w:val="1"/>
      </w:numPr>
    </w:pPr>
  </w:style>
  <w:style w:type="paragraph" w:styleId="834">
    <w:name w:val="footnote text"/>
    <w:basedOn w:val="806"/>
    <w:link w:val="1042"/>
    <w:uiPriority w:val="99"/>
    <w:unhideWhenUsed/>
    <w:qFormat/>
    <w:pPr>
      <w:spacing w:after="40"/>
    </w:pPr>
    <w:rPr>
      <w:sz w:val="18"/>
    </w:rPr>
  </w:style>
  <w:style w:type="paragraph" w:styleId="835">
    <w:name w:val="toc 6"/>
    <w:basedOn w:val="806"/>
    <w:next w:val="806"/>
    <w:uiPriority w:val="39"/>
    <w:unhideWhenUsed/>
    <w:qFormat/>
    <w:pPr>
      <w:ind w:left="1417"/>
      <w:spacing w:after="57"/>
    </w:pPr>
  </w:style>
  <w:style w:type="paragraph" w:styleId="836">
    <w:name w:val="table of figures"/>
    <w:basedOn w:val="806"/>
    <w:next w:val="806"/>
    <w:uiPriority w:val="99"/>
    <w:unhideWhenUsed/>
    <w:qFormat/>
  </w:style>
  <w:style w:type="paragraph" w:styleId="837">
    <w:name w:val="toc 2"/>
    <w:basedOn w:val="806"/>
    <w:next w:val="806"/>
    <w:uiPriority w:val="39"/>
    <w:unhideWhenUsed/>
    <w:qFormat/>
    <w:pPr>
      <w:ind w:left="283"/>
      <w:spacing w:after="57"/>
    </w:pPr>
  </w:style>
  <w:style w:type="paragraph" w:styleId="838">
    <w:name w:val="toc 9"/>
    <w:basedOn w:val="806"/>
    <w:next w:val="806"/>
    <w:uiPriority w:val="39"/>
    <w:unhideWhenUsed/>
    <w:qFormat/>
    <w:pPr>
      <w:ind w:left="2268"/>
      <w:spacing w:after="57"/>
    </w:pPr>
  </w:style>
  <w:style w:type="paragraph" w:styleId="839">
    <w:name w:val="Normal (Web)"/>
    <w:basedOn w:val="806"/>
    <w:uiPriority w:val="99"/>
    <w:semiHidden/>
    <w:unhideWhenUsed/>
    <w:qFormat/>
    <w:pPr>
      <w:jc w:val="left"/>
    </w:pPr>
    <w:rPr>
      <w:sz w:val="24"/>
    </w:rPr>
  </w:style>
  <w:style w:type="paragraph" w:styleId="840">
    <w:name w:val="Title"/>
    <w:basedOn w:val="806"/>
    <w:next w:val="806"/>
    <w:link w:val="927"/>
    <w:uiPriority w:val="10"/>
    <w:qFormat/>
    <w:pPr>
      <w:contextualSpacing/>
      <w:spacing w:before="300" w:after="200"/>
    </w:pPr>
    <w:rPr>
      <w:sz w:val="48"/>
      <w:szCs w:val="48"/>
    </w:rPr>
  </w:style>
  <w:style w:type="paragraph" w:styleId="841">
    <w:name w:val="Body Text First Indent 2"/>
    <w:basedOn w:val="822"/>
    <w:uiPriority w:val="0"/>
    <w:qFormat/>
    <w:pPr>
      <w:ind w:firstLine="420"/>
    </w:p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16"/>
    <w:uiPriority w:val="22"/>
    <w:qFormat/>
  </w:style>
  <w:style w:type="character" w:styleId="844">
    <w:name w:val="endnote reference"/>
    <w:uiPriority w:val="99"/>
    <w:unhideWhenUsed/>
    <w:qFormat/>
    <w:rPr>
      <w:vertAlign w:val="superscript"/>
    </w:rPr>
  </w:style>
  <w:style w:type="character" w:styleId="845">
    <w:name w:val="FollowedHyperlink"/>
    <w:basedOn w:val="816"/>
    <w:uiPriority w:val="99"/>
    <w:semiHidden/>
    <w:unhideWhenUsed/>
    <w:qFormat/>
    <w:rPr>
      <w:color w:val="800080"/>
      <w:u w:val="none"/>
    </w:rPr>
  </w:style>
  <w:style w:type="character" w:styleId="846">
    <w:name w:val="Emphasis"/>
    <w:basedOn w:val="816"/>
    <w:uiPriority w:val="20"/>
    <w:qFormat/>
  </w:style>
  <w:style w:type="character" w:styleId="847">
    <w:name w:val="HTML Definition"/>
    <w:basedOn w:val="816"/>
    <w:uiPriority w:val="99"/>
    <w:semiHidden/>
    <w:unhideWhenUsed/>
    <w:qFormat/>
  </w:style>
  <w:style w:type="character" w:styleId="848">
    <w:name w:val="HTML Typewriter"/>
    <w:basedOn w:val="816"/>
    <w:uiPriority w:val="99"/>
    <w:semiHidden/>
    <w:unhideWhenUsed/>
    <w:qFormat/>
    <w:rPr>
      <w:rFonts w:hint="default" w:ascii="monospace" w:hAnsi="monospace" w:eastAsia="monospace" w:cs="monospace"/>
      <w:sz w:val="20"/>
    </w:rPr>
  </w:style>
  <w:style w:type="character" w:styleId="849">
    <w:name w:val="HTML Acronym"/>
    <w:basedOn w:val="816"/>
    <w:uiPriority w:val="99"/>
    <w:semiHidden/>
    <w:unhideWhenUsed/>
    <w:qFormat/>
  </w:style>
  <w:style w:type="character" w:styleId="850">
    <w:name w:val="HTML Variable"/>
    <w:basedOn w:val="816"/>
    <w:uiPriority w:val="99"/>
    <w:semiHidden/>
    <w:unhideWhenUsed/>
    <w:qFormat/>
  </w:style>
  <w:style w:type="character" w:styleId="851">
    <w:name w:val="Hyperlink"/>
    <w:uiPriority w:val="99"/>
    <w:unhideWhenUsed/>
    <w:qFormat/>
    <w:rPr>
      <w:color w:val="0000ff"/>
      <w:u w:val="single"/>
    </w:rPr>
  </w:style>
  <w:style w:type="character" w:styleId="852">
    <w:name w:val="HTML Code"/>
    <w:basedOn w:val="816"/>
    <w:uiPriority w:val="99"/>
    <w:semiHidden/>
    <w:unhideWhenUsed/>
    <w:qFormat/>
    <w:rPr>
      <w:rFonts w:ascii="monospace" w:hAnsi="monospace" w:eastAsia="monospace" w:cs="monospace"/>
      <w:sz w:val="20"/>
    </w:rPr>
  </w:style>
  <w:style w:type="character" w:styleId="853">
    <w:name w:val="HTML Cite"/>
    <w:basedOn w:val="816"/>
    <w:uiPriority w:val="99"/>
    <w:semiHidden/>
    <w:unhideWhenUsed/>
    <w:qFormat/>
  </w:style>
  <w:style w:type="character" w:styleId="854">
    <w:name w:val="footnote reference"/>
    <w:uiPriority w:val="99"/>
    <w:unhideWhenUsed/>
    <w:qFormat/>
    <w:rPr>
      <w:vertAlign w:val="superscript"/>
    </w:rPr>
  </w:style>
  <w:style w:type="character" w:styleId="855">
    <w:name w:val="HTML Keyboard"/>
    <w:basedOn w:val="816"/>
    <w:uiPriority w:val="99"/>
    <w:semiHidden/>
    <w:unhideWhenUsed/>
    <w:qFormat/>
    <w:rPr>
      <w:rFonts w:hint="default" w:ascii="monospace" w:hAnsi="monospace" w:eastAsia="monospace" w:cs="monospace"/>
      <w:sz w:val="20"/>
    </w:rPr>
  </w:style>
  <w:style w:type="character" w:styleId="856">
    <w:name w:val="HTML Sample"/>
    <w:basedOn w:val="816"/>
    <w:uiPriority w:val="99"/>
    <w:semiHidden/>
    <w:unhideWhenUsed/>
    <w:qFormat/>
    <w:rPr>
      <w:rFonts w:hint="default" w:ascii="monospace" w:hAnsi="monospace" w:eastAsia="monospace" w:cs="monospace"/>
    </w:rPr>
  </w:style>
  <w:style w:type="paragraph" w:styleId="857" w:customStyle="1">
    <w:name w:val="标题二、"/>
    <w:basedOn w:val="806"/>
    <w:uiPriority w:val="99"/>
    <w:qFormat/>
    <w:pPr>
      <w:ind w:firstLine="200"/>
      <w:spacing w:line="360" w:lineRule="auto"/>
      <w:outlineLvl w:val="2"/>
    </w:pPr>
    <w:rPr>
      <w:rFonts w:ascii="宋体" w:hAnsi="宋体"/>
      <w:b/>
    </w:rPr>
  </w:style>
  <w:style w:type="paragraph" w:styleId="858" w:customStyle="1">
    <w:name w:val="正文1"/>
    <w:next w:val="806"/>
    <w:uiPriority w:val="0"/>
    <w:qFormat/>
    <w:rPr>
      <w:rFonts w:ascii="Times New Roman" w:hAnsi="Times New Roman" w:eastAsia="Times New Roman" w:cs="Times New Roman"/>
      <w:sz w:val="24"/>
      <w:szCs w:val="24"/>
      <w:lang w:val="en-US" w:eastAsia="zh-CN" w:bidi="ar-SA"/>
    </w:rPr>
  </w:style>
  <w:style w:type="paragraph" w:styleId="859" w:customStyle="1">
    <w:name w:val="UserStyle_0"/>
    <w:basedOn w:val="860"/>
    <w:uiPriority w:val="0"/>
    <w:qFormat/>
    <w:pPr>
      <w:ind w:left="420"/>
      <w:spacing w:after="120"/>
    </w:pPr>
  </w:style>
  <w:style w:type="paragraph" w:styleId="860" w:customStyle="1">
    <w:name w:val="正文2"/>
    <w:basedOn w:val="806"/>
    <w:next w:val="859"/>
    <w:uiPriority w:val="0"/>
    <w:qFormat/>
    <w:pPr>
      <w:ind w:firstLine="510"/>
      <w:spacing w:before="156" w:line="360" w:lineRule="auto"/>
    </w:pPr>
    <w:rPr>
      <w:sz w:val="24"/>
      <w:szCs w:val="20"/>
    </w:rPr>
  </w:style>
  <w:style w:type="character" w:styleId="861" w:customStyle="1">
    <w:name w:val="标题 1 Char"/>
    <w:link w:val="862"/>
    <w:uiPriority w:val="0"/>
    <w:qFormat/>
    <w:rPr>
      <w:rFonts w:ascii="楷体_GB2312" w:hAnsi="Times New Roman" w:eastAsia="楷体_GB2312" w:cs="Times New Roman"/>
      <w:sz w:val="28"/>
      <w:szCs w:val="28"/>
    </w:rPr>
  </w:style>
  <w:style w:type="paragraph" w:styleId="862" w:customStyle="1">
    <w:name w:val="标题 11"/>
    <w:basedOn w:val="806"/>
    <w:next w:val="806"/>
    <w:link w:val="861"/>
    <w:uiPriority w:val="0"/>
    <w:qFormat/>
    <w:pPr>
      <w:jc w:val="center"/>
      <w:keepNext/>
      <w:outlineLvl w:val="0"/>
    </w:pPr>
    <w:rPr>
      <w:rFonts w:ascii="楷体_GB2312" w:eastAsia="楷体_GB2312"/>
      <w:sz w:val="28"/>
      <w:szCs w:val="28"/>
    </w:rPr>
  </w:style>
  <w:style w:type="character" w:styleId="863" w:customStyle="1">
    <w:name w:val="标题 2 Char"/>
    <w:link w:val="864"/>
    <w:uiPriority w:val="0"/>
    <w:qFormat/>
    <w:rPr>
      <w:rFonts w:ascii="Arial" w:hAnsi="Arial" w:eastAsia="幼圆" w:cs="Arial"/>
      <w:b/>
      <w:bCs/>
      <w:sz w:val="44"/>
      <w:szCs w:val="44"/>
    </w:rPr>
  </w:style>
  <w:style w:type="paragraph" w:styleId="864" w:customStyle="1">
    <w:name w:val="标题 21"/>
    <w:basedOn w:val="806"/>
    <w:next w:val="806"/>
    <w:link w:val="86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65" w:customStyle="1">
    <w:name w:val="标题 4 Char"/>
    <w:link w:val="866"/>
    <w:uiPriority w:val="0"/>
    <w:qFormat/>
    <w:rPr>
      <w:rFonts w:ascii="Arial" w:hAnsi="Arial" w:eastAsia="黑体" w:cs="Arial"/>
      <w:b/>
      <w:bCs/>
      <w:sz w:val="28"/>
      <w:szCs w:val="28"/>
    </w:rPr>
  </w:style>
  <w:style w:type="paragraph" w:styleId="866" w:customStyle="1">
    <w:name w:val="标题 41"/>
    <w:basedOn w:val="806"/>
    <w:next w:val="867"/>
    <w:link w:val="865"/>
    <w:uiPriority w:val="0"/>
    <w:qFormat/>
    <w:pPr>
      <w:keepLines/>
      <w:keepNext/>
      <w:spacing w:before="280" w:after="290" w:line="376" w:lineRule="auto"/>
      <w:outlineLvl w:val="3"/>
    </w:pPr>
    <w:rPr>
      <w:rFonts w:ascii="Arial" w:hAnsi="Arial" w:eastAsia="黑体" w:cs="Arial"/>
      <w:b/>
      <w:bCs/>
      <w:sz w:val="28"/>
      <w:szCs w:val="28"/>
    </w:rPr>
  </w:style>
  <w:style w:type="paragraph" w:styleId="867" w:customStyle="1">
    <w:name w:val="正文缩进1"/>
    <w:basedOn w:val="806"/>
    <w:next w:val="806"/>
    <w:link w:val="1052"/>
    <w:uiPriority w:val="0"/>
    <w:qFormat/>
    <w:pPr>
      <w:ind w:firstLine="420"/>
    </w:pPr>
  </w:style>
  <w:style w:type="paragraph" w:styleId="868" w:customStyle="1">
    <w:name w:val="正文文本1"/>
    <w:basedOn w:val="806"/>
    <w:next w:val="869"/>
    <w:uiPriority w:val="0"/>
    <w:qFormat/>
    <w:pPr>
      <w:spacing w:line="60" w:lineRule="auto"/>
    </w:pPr>
    <w:rPr>
      <w:rFonts w:ascii="仿宋_GB2312" w:eastAsia="仿宋_GB2312"/>
      <w:sz w:val="32"/>
    </w:rPr>
  </w:style>
  <w:style w:type="paragraph" w:styleId="869" w:customStyle="1">
    <w:name w:val="正文缩进11"/>
    <w:basedOn w:val="806"/>
    <w:next w:val="806"/>
    <w:uiPriority w:val="0"/>
    <w:qFormat/>
    <w:pPr>
      <w:ind w:firstLine="420"/>
    </w:pPr>
  </w:style>
  <w:style w:type="character" w:styleId="870" w:customStyle="1">
    <w:name w:val="NormalCharacter"/>
    <w:uiPriority w:val="0"/>
    <w:qFormat/>
  </w:style>
  <w:style w:type="character" w:styleId="871" w:customStyle="1">
    <w:name w:val="Heading 1 Char"/>
    <w:basedOn w:val="816"/>
    <w:uiPriority w:val="9"/>
    <w:qFormat/>
    <w:rPr>
      <w:rFonts w:ascii="Arial" w:hAnsi="Arial" w:eastAsia="Arial" w:cs="Arial"/>
      <w:sz w:val="40"/>
      <w:szCs w:val="40"/>
    </w:rPr>
  </w:style>
  <w:style w:type="character" w:styleId="872" w:customStyle="1">
    <w:name w:val="Heading 2 Char"/>
    <w:basedOn w:val="816"/>
    <w:uiPriority w:val="9"/>
    <w:qFormat/>
    <w:rPr>
      <w:rFonts w:ascii="Arial" w:hAnsi="Arial" w:eastAsia="Arial" w:cs="Arial"/>
      <w:sz w:val="34"/>
    </w:rPr>
  </w:style>
  <w:style w:type="character" w:styleId="873" w:customStyle="1">
    <w:name w:val="Heading 3 Char"/>
    <w:basedOn w:val="816"/>
    <w:uiPriority w:val="9"/>
    <w:qFormat/>
    <w:rPr>
      <w:rFonts w:ascii="Arial" w:hAnsi="Arial" w:eastAsia="Arial" w:cs="Arial"/>
      <w:sz w:val="30"/>
      <w:szCs w:val="30"/>
    </w:rPr>
  </w:style>
  <w:style w:type="character" w:styleId="874" w:customStyle="1">
    <w:name w:val="Heading 4 Char"/>
    <w:basedOn w:val="816"/>
    <w:uiPriority w:val="9"/>
    <w:qFormat/>
    <w:rPr>
      <w:rFonts w:ascii="Arial" w:hAnsi="Arial" w:eastAsia="Arial" w:cs="Arial"/>
      <w:b/>
      <w:bCs/>
      <w:sz w:val="26"/>
      <w:szCs w:val="26"/>
    </w:rPr>
  </w:style>
  <w:style w:type="character" w:styleId="875" w:customStyle="1">
    <w:name w:val="Heading 5 Char"/>
    <w:basedOn w:val="816"/>
    <w:uiPriority w:val="9"/>
    <w:qFormat/>
    <w:rPr>
      <w:rFonts w:ascii="Arial" w:hAnsi="Arial" w:eastAsia="Arial" w:cs="Arial"/>
      <w:b/>
      <w:bCs/>
      <w:sz w:val="24"/>
      <w:szCs w:val="24"/>
    </w:rPr>
  </w:style>
  <w:style w:type="character" w:styleId="876" w:customStyle="1">
    <w:name w:val="Heading 6 Char"/>
    <w:basedOn w:val="816"/>
    <w:uiPriority w:val="9"/>
    <w:qFormat/>
    <w:rPr>
      <w:rFonts w:ascii="Arial" w:hAnsi="Arial" w:eastAsia="Arial" w:cs="Arial"/>
      <w:b/>
      <w:bCs/>
      <w:sz w:val="22"/>
      <w:szCs w:val="22"/>
    </w:rPr>
  </w:style>
  <w:style w:type="character" w:styleId="877" w:customStyle="1">
    <w:name w:val="Heading 7 Char"/>
    <w:basedOn w:val="816"/>
    <w:uiPriority w:val="9"/>
    <w:qFormat/>
    <w:rPr>
      <w:rFonts w:ascii="Arial" w:hAnsi="Arial" w:eastAsia="Arial" w:cs="Arial"/>
      <w:b/>
      <w:bCs/>
      <w:i/>
      <w:iCs/>
      <w:sz w:val="22"/>
      <w:szCs w:val="22"/>
    </w:rPr>
  </w:style>
  <w:style w:type="character" w:styleId="878" w:customStyle="1">
    <w:name w:val="Heading 8 Char"/>
    <w:basedOn w:val="816"/>
    <w:uiPriority w:val="9"/>
    <w:qFormat/>
    <w:rPr>
      <w:rFonts w:ascii="Arial" w:hAnsi="Arial" w:eastAsia="Arial" w:cs="Arial"/>
      <w:i/>
      <w:iCs/>
      <w:sz w:val="22"/>
      <w:szCs w:val="22"/>
    </w:rPr>
  </w:style>
  <w:style w:type="character" w:styleId="879" w:customStyle="1">
    <w:name w:val="Heading 9 Char"/>
    <w:basedOn w:val="816"/>
    <w:uiPriority w:val="9"/>
    <w:qFormat/>
    <w:rPr>
      <w:rFonts w:ascii="Arial" w:hAnsi="Arial" w:eastAsia="Arial" w:cs="Arial"/>
      <w:i/>
      <w:iCs/>
      <w:sz w:val="21"/>
      <w:szCs w:val="21"/>
    </w:r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Title Char"/>
    <w:basedOn w:val="816"/>
    <w:uiPriority w:val="10"/>
    <w:qFormat/>
    <w:rPr>
      <w:sz w:val="48"/>
      <w:szCs w:val="48"/>
    </w:rPr>
  </w:style>
  <w:style w:type="character" w:styleId="882" w:customStyle="1">
    <w:name w:val="Subtitle Char"/>
    <w:basedOn w:val="816"/>
    <w:uiPriority w:val="11"/>
    <w:qFormat/>
    <w:rPr>
      <w:sz w:val="24"/>
      <w:szCs w:val="24"/>
    </w:rPr>
  </w:style>
  <w:style w:type="paragraph" w:styleId="883">
    <w:name w:val="Quote"/>
    <w:basedOn w:val="806"/>
    <w:next w:val="806"/>
    <w:link w:val="884"/>
    <w:uiPriority w:val="29"/>
    <w:qFormat/>
    <w:pPr>
      <w:ind w:left="720" w:right="720"/>
    </w:pPr>
    <w:rPr>
      <w:i/>
    </w:rPr>
  </w:style>
  <w:style w:type="character" w:styleId="884" w:customStyle="1">
    <w:name w:val="引用 字符1"/>
    <w:link w:val="883"/>
    <w:uiPriority w:val="29"/>
    <w:qFormat/>
    <w:rPr>
      <w:i/>
    </w:rPr>
  </w:style>
  <w:style w:type="paragraph" w:styleId="885">
    <w:name w:val="Intense Quote"/>
    <w:basedOn w:val="806"/>
    <w:next w:val="806"/>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1"/>
    <w:link w:val="885"/>
    <w:uiPriority w:val="30"/>
    <w:qFormat/>
    <w:rPr>
      <w:i/>
    </w:rPr>
  </w:style>
  <w:style w:type="character" w:styleId="887" w:customStyle="1">
    <w:name w:val="Header Char"/>
    <w:basedOn w:val="816"/>
    <w:uiPriority w:val="99"/>
    <w:qFormat/>
  </w:style>
  <w:style w:type="character" w:styleId="888" w:customStyle="1">
    <w:name w:val="Caption Char"/>
    <w:uiPriority w:val="99"/>
    <w:qFormat/>
  </w:style>
  <w:style w:type="table" w:styleId="889" w:customStyle="1">
    <w:name w:val="无格式表格 11"/>
    <w:basedOn w:val="81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1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1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1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1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1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1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1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网格表 7 彩色1"/>
    <w:basedOn w:val="817"/>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1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17"/>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清单表 31"/>
    <w:basedOn w:val="817"/>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1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17"/>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817"/>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清单表 7 彩色1"/>
    <w:basedOn w:val="817"/>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标题1"/>
    <w:uiPriority w:val="39"/>
    <w:unhideWhenUsed/>
    <w:qFormat/>
    <w:rPr>
      <w:rFonts w:ascii="Times New Roman" w:hAnsi="Times New Roman" w:eastAsia="宋体" w:cs="Times New Roman"/>
      <w:lang w:val="en-US" w:eastAsia="zh-CN" w:bidi="ar-SA"/>
    </w:rPr>
  </w:style>
  <w:style w:type="character" w:styleId="911" w:customStyle="1">
    <w:name w:val="标题 3 Char"/>
    <w:link w:val="912"/>
    <w:uiPriority w:val="0"/>
    <w:qFormat/>
    <w:rPr>
      <w:rFonts w:ascii="Times New Roman" w:hAnsi="Times New Roman" w:eastAsia="宋体" w:cs="Times New Roman"/>
      <w:b/>
      <w:bCs/>
      <w:sz w:val="32"/>
      <w:szCs w:val="32"/>
    </w:rPr>
  </w:style>
  <w:style w:type="paragraph" w:styleId="912" w:customStyle="1">
    <w:name w:val="标题 31"/>
    <w:basedOn w:val="806"/>
    <w:next w:val="867"/>
    <w:link w:val="911"/>
    <w:uiPriority w:val="0"/>
    <w:qFormat/>
    <w:pPr>
      <w:keepLines/>
      <w:keepNext/>
      <w:spacing w:before="260" w:after="260" w:line="416" w:lineRule="auto"/>
      <w:outlineLvl w:val="2"/>
    </w:pPr>
    <w:rPr>
      <w:b/>
      <w:bCs/>
      <w:sz w:val="32"/>
      <w:szCs w:val="32"/>
    </w:rPr>
  </w:style>
  <w:style w:type="character" w:styleId="913" w:customStyle="1">
    <w:name w:val="正文文本 Char"/>
    <w:link w:val="914"/>
    <w:uiPriority w:val="0"/>
    <w:qFormat/>
    <w:rPr>
      <w:rFonts w:ascii="楷体_GB2312" w:hAnsi="Arial" w:eastAsia="楷体_GB2312" w:cs="Times New Roman"/>
      <w:sz w:val="28"/>
      <w:szCs w:val="28"/>
    </w:rPr>
  </w:style>
  <w:style w:type="paragraph" w:styleId="914" w:customStyle="1">
    <w:name w:val="正文文本11"/>
    <w:basedOn w:val="806"/>
    <w:next w:val="867"/>
    <w:link w:val="913"/>
    <w:uiPriority w:val="0"/>
    <w:qFormat/>
    <w:rPr>
      <w:rFonts w:ascii="楷体_GB2312" w:hAnsi="Arial" w:eastAsia="楷体_GB2312"/>
      <w:sz w:val="28"/>
      <w:szCs w:val="28"/>
    </w:rPr>
  </w:style>
  <w:style w:type="paragraph" w:styleId="9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16" w:customStyle="1">
    <w:name w:val="标题 1 字符"/>
    <w:link w:val="807"/>
    <w:uiPriority w:val="9"/>
    <w:qFormat/>
    <w:rPr>
      <w:rFonts w:ascii="Arial" w:hAnsi="Arial" w:eastAsia="Arial" w:cs="Arial"/>
      <w:sz w:val="40"/>
      <w:szCs w:val="40"/>
    </w:rPr>
  </w:style>
  <w:style w:type="character" w:styleId="917" w:customStyle="1">
    <w:name w:val="标题 2 字符"/>
    <w:link w:val="808"/>
    <w:uiPriority w:val="9"/>
    <w:qFormat/>
    <w:rPr>
      <w:rFonts w:ascii="Arial" w:hAnsi="Arial" w:eastAsia="Arial" w:cs="Arial"/>
      <w:sz w:val="34"/>
    </w:rPr>
  </w:style>
  <w:style w:type="character" w:styleId="918" w:customStyle="1">
    <w:name w:val="标题 3 字符"/>
    <w:link w:val="809"/>
    <w:uiPriority w:val="9"/>
    <w:qFormat/>
    <w:rPr>
      <w:rFonts w:ascii="Arial" w:hAnsi="Arial" w:eastAsia="Arial" w:cs="Arial"/>
      <w:sz w:val="30"/>
      <w:szCs w:val="30"/>
    </w:rPr>
  </w:style>
  <w:style w:type="character" w:styleId="919" w:customStyle="1">
    <w:name w:val="标题 4 字符"/>
    <w:link w:val="810"/>
    <w:uiPriority w:val="9"/>
    <w:qFormat/>
    <w:rPr>
      <w:rFonts w:ascii="Arial" w:hAnsi="Arial" w:eastAsia="Arial" w:cs="Arial"/>
      <w:b/>
      <w:bCs/>
      <w:sz w:val="26"/>
      <w:szCs w:val="26"/>
    </w:rPr>
  </w:style>
  <w:style w:type="character" w:styleId="920" w:customStyle="1">
    <w:name w:val="标题 5 字符"/>
    <w:link w:val="811"/>
    <w:uiPriority w:val="9"/>
    <w:qFormat/>
    <w:rPr>
      <w:rFonts w:ascii="Arial" w:hAnsi="Arial" w:eastAsia="Arial" w:cs="Arial"/>
      <w:b/>
      <w:bCs/>
      <w:sz w:val="24"/>
      <w:szCs w:val="24"/>
    </w:rPr>
  </w:style>
  <w:style w:type="character" w:styleId="921" w:customStyle="1">
    <w:name w:val="标题 6 字符"/>
    <w:link w:val="812"/>
    <w:uiPriority w:val="9"/>
    <w:qFormat/>
    <w:rPr>
      <w:rFonts w:ascii="Arial" w:hAnsi="Arial" w:eastAsia="Arial" w:cs="Arial"/>
      <w:b/>
      <w:bCs/>
      <w:sz w:val="22"/>
      <w:szCs w:val="22"/>
    </w:rPr>
  </w:style>
  <w:style w:type="character" w:styleId="922" w:customStyle="1">
    <w:name w:val="标题 7 字符"/>
    <w:link w:val="813"/>
    <w:uiPriority w:val="9"/>
    <w:qFormat/>
    <w:rPr>
      <w:rFonts w:ascii="Arial" w:hAnsi="Arial" w:eastAsia="Arial" w:cs="Arial"/>
      <w:b/>
      <w:bCs/>
      <w:i/>
      <w:iCs/>
      <w:sz w:val="22"/>
      <w:szCs w:val="22"/>
    </w:rPr>
  </w:style>
  <w:style w:type="character" w:styleId="923" w:customStyle="1">
    <w:name w:val="标题 8 字符"/>
    <w:link w:val="814"/>
    <w:uiPriority w:val="9"/>
    <w:qFormat/>
    <w:rPr>
      <w:rFonts w:ascii="Arial" w:hAnsi="Arial" w:eastAsia="Arial" w:cs="Arial"/>
      <w:i/>
      <w:iCs/>
      <w:sz w:val="22"/>
      <w:szCs w:val="22"/>
    </w:rPr>
  </w:style>
  <w:style w:type="character" w:styleId="924" w:customStyle="1">
    <w:name w:val="标题 9 字符"/>
    <w:link w:val="815"/>
    <w:uiPriority w:val="9"/>
    <w:qFormat/>
    <w:rPr>
      <w:rFonts w:ascii="Arial" w:hAnsi="Arial" w:eastAsia="Arial" w:cs="Arial"/>
      <w:i/>
      <w:iCs/>
      <w:sz w:val="21"/>
      <w:szCs w:val="21"/>
    </w:rPr>
  </w:style>
  <w:style w:type="paragraph" w:styleId="925" w:customStyle="1">
    <w:name w:val="列表段落1"/>
    <w:basedOn w:val="806"/>
    <w:uiPriority w:val="34"/>
    <w:qFormat/>
    <w:pPr>
      <w:contextualSpacing/>
      <w:ind w:left="720"/>
    </w:pPr>
  </w:style>
  <w:style w:type="paragraph" w:styleId="926" w:customStyle="1">
    <w:name w:val="无间隔1"/>
    <w:uiPriority w:val="1"/>
    <w:qFormat/>
    <w:rPr>
      <w:rFonts w:ascii="Times New Roman" w:hAnsi="Times New Roman" w:eastAsia="宋体" w:cs="Times New Roman"/>
      <w:lang w:val="en-US" w:eastAsia="zh-CN" w:bidi="ar-SA"/>
    </w:rPr>
  </w:style>
  <w:style w:type="character" w:styleId="927" w:customStyle="1">
    <w:name w:val="标题 字符"/>
    <w:link w:val="840"/>
    <w:uiPriority w:val="10"/>
    <w:qFormat/>
    <w:rPr>
      <w:sz w:val="48"/>
      <w:szCs w:val="48"/>
    </w:rPr>
  </w:style>
  <w:style w:type="character" w:styleId="928" w:customStyle="1">
    <w:name w:val="副标题 字符"/>
    <w:link w:val="832"/>
    <w:uiPriority w:val="11"/>
    <w:qFormat/>
    <w:rPr>
      <w:sz w:val="24"/>
      <w:szCs w:val="24"/>
    </w:rPr>
  </w:style>
  <w:style w:type="paragraph" w:styleId="929" w:customStyle="1">
    <w:name w:val="引用1"/>
    <w:basedOn w:val="806"/>
    <w:next w:val="806"/>
    <w:link w:val="930"/>
    <w:uiPriority w:val="29"/>
    <w:qFormat/>
    <w:pPr>
      <w:ind w:left="720" w:right="720"/>
    </w:pPr>
    <w:rPr>
      <w:i/>
    </w:rPr>
  </w:style>
  <w:style w:type="character" w:styleId="930" w:customStyle="1">
    <w:name w:val="引用 字符"/>
    <w:link w:val="929"/>
    <w:uiPriority w:val="29"/>
    <w:qFormat/>
    <w:rPr>
      <w:i/>
    </w:rPr>
  </w:style>
  <w:style w:type="paragraph" w:styleId="931" w:customStyle="1">
    <w:name w:val="明显引用1"/>
    <w:basedOn w:val="806"/>
    <w:next w:val="806"/>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页眉 字符"/>
    <w:link w:val="829"/>
    <w:uiPriority w:val="99"/>
    <w:qFormat/>
  </w:style>
  <w:style w:type="character" w:styleId="934" w:customStyle="1">
    <w:name w:val="Footer Char"/>
    <w:uiPriority w:val="99"/>
    <w:qFormat/>
  </w:style>
  <w:style w:type="character" w:styleId="935" w:customStyle="1">
    <w:name w:val="页脚 字符"/>
    <w:link w:val="828"/>
    <w:uiPriority w:val="99"/>
    <w:qFormat/>
  </w:style>
  <w:style w:type="table" w:styleId="9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List Table 1 Light - Accent 1"/>
    <w:uiPriority w:val="99"/>
    <w:qFormat/>
    <w:tblPr>
      <w:tblCellMar>
        <w:left w:w="0" w:type="dxa"/>
        <w:top w:w="0" w:type="dxa"/>
        <w:right w:w="0" w:type="dxa"/>
        <w:bottom w:w="0" w:type="dxa"/>
      </w:tblCellMar>
    </w:tblPr>
  </w:style>
  <w:style w:type="table" w:styleId="980" w:customStyle="1">
    <w:name w:val="List Table 1 Light - Accent 2"/>
    <w:uiPriority w:val="99"/>
    <w:qFormat/>
    <w:tblPr>
      <w:tblCellMar>
        <w:left w:w="0" w:type="dxa"/>
        <w:top w:w="0" w:type="dxa"/>
        <w:right w:w="0" w:type="dxa"/>
        <w:bottom w:w="0" w:type="dxa"/>
      </w:tblCellMar>
    </w:tblPr>
  </w:style>
  <w:style w:type="table" w:styleId="981" w:customStyle="1">
    <w:name w:val="List Table 1 Light - Accent 3"/>
    <w:uiPriority w:val="99"/>
    <w:qFormat/>
    <w:tblPr>
      <w:tblCellMar>
        <w:left w:w="0" w:type="dxa"/>
        <w:top w:w="0" w:type="dxa"/>
        <w:right w:w="0" w:type="dxa"/>
        <w:bottom w:w="0" w:type="dxa"/>
      </w:tblCellMar>
    </w:tblPr>
  </w:style>
  <w:style w:type="table" w:styleId="982" w:customStyle="1">
    <w:name w:val="List Table 1 Light - Accent 4"/>
    <w:uiPriority w:val="99"/>
    <w:qFormat/>
    <w:tblPr>
      <w:tblCellMar>
        <w:left w:w="0" w:type="dxa"/>
        <w:top w:w="0" w:type="dxa"/>
        <w:right w:w="0" w:type="dxa"/>
        <w:bottom w:w="0" w:type="dxa"/>
      </w:tblCellMar>
    </w:tblPr>
  </w:style>
  <w:style w:type="table" w:styleId="983" w:customStyle="1">
    <w:name w:val="List Table 1 Light - Accent 5"/>
    <w:uiPriority w:val="99"/>
    <w:qFormat/>
    <w:tblPr>
      <w:tblCellMar>
        <w:left w:w="0" w:type="dxa"/>
        <w:top w:w="0" w:type="dxa"/>
        <w:right w:w="0" w:type="dxa"/>
        <w:bottom w:w="0" w:type="dxa"/>
      </w:tblCellMar>
    </w:tblPr>
  </w:style>
  <w:style w:type="table" w:styleId="984" w:customStyle="1">
    <w:name w:val="List Table 1 Light - Accent 6"/>
    <w:uiPriority w:val="99"/>
    <w:qFormat/>
    <w:tblPr>
      <w:tblCellMar>
        <w:left w:w="0" w:type="dxa"/>
        <w:top w:w="0" w:type="dxa"/>
        <w:right w:w="0" w:type="dxa"/>
        <w:bottom w:w="0" w:type="dxa"/>
      </w:tblCellMar>
    </w:tblPr>
  </w:style>
  <w:style w:type="table" w:styleId="9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1" w:customStyle="1">
    <w:name w:val="Lined - Accent"/>
    <w:uiPriority w:val="99"/>
    <w:qFormat/>
    <w:rPr>
      <w:color w:val="404040"/>
    </w:rPr>
    <w:tblPr>
      <w:tblCellMar>
        <w:left w:w="0" w:type="dxa"/>
        <w:top w:w="0" w:type="dxa"/>
        <w:right w:w="0" w:type="dxa"/>
        <w:bottom w:w="0" w:type="dxa"/>
      </w:tblCellMar>
    </w:tblPr>
  </w:style>
  <w:style w:type="table" w:styleId="1022" w:customStyle="1">
    <w:name w:val="Lined - Accent 1"/>
    <w:uiPriority w:val="99"/>
    <w:qFormat/>
    <w:rPr>
      <w:color w:val="404040"/>
    </w:rPr>
    <w:tblPr>
      <w:tblCellMar>
        <w:left w:w="0" w:type="dxa"/>
        <w:top w:w="0" w:type="dxa"/>
        <w:right w:w="0" w:type="dxa"/>
        <w:bottom w:w="0" w:type="dxa"/>
      </w:tblCellMar>
    </w:tblPr>
  </w:style>
  <w:style w:type="table" w:styleId="1023" w:customStyle="1">
    <w:name w:val="Lined - Accent 2"/>
    <w:uiPriority w:val="99"/>
    <w:qFormat/>
    <w:rPr>
      <w:color w:val="404040"/>
    </w:rPr>
    <w:tblPr>
      <w:tblCellMar>
        <w:left w:w="0" w:type="dxa"/>
        <w:top w:w="0" w:type="dxa"/>
        <w:right w:w="0" w:type="dxa"/>
        <w:bottom w:w="0" w:type="dxa"/>
      </w:tblCellMar>
    </w:tblPr>
  </w:style>
  <w:style w:type="table" w:styleId="1024" w:customStyle="1">
    <w:name w:val="Lined - Accent 3"/>
    <w:uiPriority w:val="99"/>
    <w:qFormat/>
    <w:rPr>
      <w:color w:val="404040"/>
    </w:rPr>
    <w:tblPr>
      <w:tblCellMar>
        <w:left w:w="0" w:type="dxa"/>
        <w:top w:w="0" w:type="dxa"/>
        <w:right w:w="0" w:type="dxa"/>
        <w:bottom w:w="0" w:type="dxa"/>
      </w:tblCellMar>
    </w:tblPr>
  </w:style>
  <w:style w:type="table" w:styleId="1025" w:customStyle="1">
    <w:name w:val="Lined - Accent 4"/>
    <w:uiPriority w:val="99"/>
    <w:qFormat/>
    <w:rPr>
      <w:color w:val="404040"/>
    </w:rPr>
    <w:tblPr>
      <w:tblCellMar>
        <w:left w:w="0" w:type="dxa"/>
        <w:top w:w="0" w:type="dxa"/>
        <w:right w:w="0" w:type="dxa"/>
        <w:bottom w:w="0" w:type="dxa"/>
      </w:tblCellMar>
    </w:tblPr>
  </w:style>
  <w:style w:type="table" w:styleId="1026" w:customStyle="1">
    <w:name w:val="Lined - Accent 5"/>
    <w:uiPriority w:val="99"/>
    <w:qFormat/>
    <w:rPr>
      <w:color w:val="404040"/>
    </w:rPr>
    <w:tblPr>
      <w:tblCellMar>
        <w:left w:w="0" w:type="dxa"/>
        <w:top w:w="0" w:type="dxa"/>
        <w:right w:w="0" w:type="dxa"/>
        <w:bottom w:w="0" w:type="dxa"/>
      </w:tblCellMar>
    </w:tblPr>
  </w:style>
  <w:style w:type="table" w:styleId="1027" w:customStyle="1">
    <w:name w:val="Lined - Accent 6"/>
    <w:uiPriority w:val="99"/>
    <w:qFormat/>
    <w:rPr>
      <w:color w:val="404040"/>
    </w:rPr>
    <w:tblPr>
      <w:tblCellMar>
        <w:left w:w="0" w:type="dxa"/>
        <w:top w:w="0" w:type="dxa"/>
        <w:right w:w="0" w:type="dxa"/>
        <w:bottom w:w="0" w:type="dxa"/>
      </w:tblCellMar>
    </w:tblPr>
  </w:style>
  <w:style w:type="table" w:styleId="10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2" w:customStyle="1">
    <w:name w:val="脚注文本 字符"/>
    <w:link w:val="834"/>
    <w:uiPriority w:val="99"/>
    <w:qFormat/>
    <w:rPr>
      <w:sz w:val="18"/>
    </w:rPr>
  </w:style>
  <w:style w:type="character" w:styleId="1043" w:customStyle="1">
    <w:name w:val="尾注文本 字符"/>
    <w:link w:val="827"/>
    <w:uiPriority w:val="99"/>
    <w:qFormat/>
    <w:rPr>
      <w:sz w:val="20"/>
    </w:rPr>
  </w:style>
  <w:style w:type="paragraph" w:styleId="1044" w:customStyle="1">
    <w:name w:val="TOC 标题11"/>
    <w:uiPriority w:val="39"/>
    <w:unhideWhenUsed/>
    <w:qFormat/>
    <w:rPr>
      <w:rFonts w:ascii="Times New Roman" w:hAnsi="Times New Roman" w:eastAsia="宋体" w:cs="Times New Roman"/>
      <w:lang w:val="en-US" w:eastAsia="zh-CN" w:bidi="ar-SA"/>
    </w:rPr>
  </w:style>
  <w:style w:type="paragraph" w:styleId="1045" w:customStyle="1">
    <w:name w:val="标题 51"/>
    <w:basedOn w:val="806"/>
    <w:next w:val="867"/>
    <w:link w:val="1053"/>
    <w:uiPriority w:val="0"/>
    <w:qFormat/>
    <w:pPr>
      <w:keepNext/>
      <w:outlineLvl w:val="4"/>
    </w:pPr>
    <w:rPr>
      <w:rFonts w:ascii="宋体"/>
      <w:color w:val="000000"/>
      <w:sz w:val="28"/>
      <w:szCs w:val="28"/>
    </w:rPr>
  </w:style>
  <w:style w:type="paragraph" w:styleId="1046" w:customStyle="1">
    <w:name w:val="标题 61"/>
    <w:basedOn w:val="806"/>
    <w:next w:val="806"/>
    <w:link w:val="105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47" w:customStyle="1">
    <w:name w:val="标题 71"/>
    <w:basedOn w:val="806"/>
    <w:next w:val="806"/>
    <w:link w:val="1055"/>
    <w:uiPriority w:val="0"/>
    <w:qFormat/>
    <w:pPr>
      <w:numPr>
        <w:ilvl w:val="6"/>
        <w:numId w:val="2"/>
      </w:numPr>
      <w:keepLines/>
      <w:keepNext/>
      <w:spacing w:before="240" w:after="64" w:line="320" w:lineRule="auto"/>
      <w:outlineLvl w:val="6"/>
    </w:pPr>
    <w:rPr>
      <w:b/>
      <w:bCs/>
      <w:sz w:val="24"/>
      <w:szCs w:val="24"/>
    </w:rPr>
  </w:style>
  <w:style w:type="paragraph" w:styleId="1048" w:customStyle="1">
    <w:name w:val="标题 81"/>
    <w:basedOn w:val="806"/>
    <w:next w:val="806"/>
    <w:link w:val="1056"/>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49" w:customStyle="1">
    <w:name w:val="标题 91"/>
    <w:basedOn w:val="806"/>
    <w:next w:val="806"/>
    <w:link w:val="1057"/>
    <w:uiPriority w:val="0"/>
    <w:qFormat/>
    <w:pPr>
      <w:numPr>
        <w:ilvl w:val="8"/>
        <w:numId w:val="2"/>
      </w:numPr>
      <w:keepLines/>
      <w:keepNext/>
      <w:spacing w:before="240" w:after="64" w:line="320" w:lineRule="auto"/>
      <w:outlineLvl w:val="8"/>
    </w:pPr>
    <w:rPr>
      <w:rFonts w:ascii="Arial" w:hAnsi="Arial" w:eastAsia="黑体"/>
    </w:rPr>
  </w:style>
  <w:style w:type="character" w:styleId="1050" w:customStyle="1">
    <w:name w:val="默认段落字体1"/>
    <w:link w:val="806"/>
    <w:uiPriority w:val="1"/>
    <w:unhideWhenUsed/>
    <w:qFormat/>
    <w:rPr>
      <w:rFonts w:ascii="Times New Roman" w:hAnsi="Times New Roman" w:eastAsia="宋体" w:cs="Times New Roman"/>
      <w:sz w:val="21"/>
      <w:szCs w:val="21"/>
      <w:lang w:val="en-US" w:eastAsia="zh-CN" w:bidi="ar-SA"/>
    </w:rPr>
  </w:style>
  <w:style w:type="table" w:styleId="1051" w:customStyle="1">
    <w:name w:val="普通表格1"/>
    <w:uiPriority w:val="99"/>
    <w:unhideWhenUsed/>
    <w:qFormat/>
    <w:tblPr>
      <w:tblCellMar>
        <w:left w:w="0" w:type="dxa"/>
        <w:top w:w="0" w:type="dxa"/>
        <w:right w:w="0" w:type="dxa"/>
        <w:bottom w:w="0" w:type="dxa"/>
      </w:tblCellMar>
    </w:tblPr>
  </w:style>
  <w:style w:type="character" w:styleId="1052" w:customStyle="1">
    <w:name w:val="正文缩进 Char"/>
    <w:link w:val="867"/>
    <w:uiPriority w:val="0"/>
    <w:qFormat/>
    <w:rPr>
      <w:rFonts w:ascii="Times New Roman" w:hAnsi="Times New Roman" w:eastAsia="宋体" w:cs="Times New Roman"/>
      <w:szCs w:val="21"/>
    </w:rPr>
  </w:style>
  <w:style w:type="character" w:styleId="1053" w:customStyle="1">
    <w:name w:val="标题 5 Char"/>
    <w:link w:val="1045"/>
    <w:uiPriority w:val="0"/>
    <w:qFormat/>
    <w:rPr>
      <w:rFonts w:ascii="宋体" w:hAnsi="Times New Roman" w:eastAsia="宋体" w:cs="Times New Roman"/>
      <w:color w:val="000000"/>
      <w:sz w:val="28"/>
      <w:szCs w:val="28"/>
    </w:rPr>
  </w:style>
  <w:style w:type="character" w:styleId="1054" w:customStyle="1">
    <w:name w:val="标题 6 Char"/>
    <w:link w:val="1046"/>
    <w:uiPriority w:val="0"/>
    <w:qFormat/>
    <w:rPr>
      <w:rFonts w:ascii="Arial" w:hAnsi="Arial" w:eastAsia="黑体" w:cs="Times New Roman"/>
      <w:b/>
      <w:bCs/>
      <w:sz w:val="24"/>
      <w:szCs w:val="24"/>
    </w:rPr>
  </w:style>
  <w:style w:type="character" w:styleId="1055" w:customStyle="1">
    <w:name w:val="标题 7 Char"/>
    <w:link w:val="1047"/>
    <w:uiPriority w:val="0"/>
    <w:qFormat/>
    <w:rPr>
      <w:rFonts w:ascii="Times New Roman" w:hAnsi="Times New Roman" w:eastAsia="宋体" w:cs="Times New Roman"/>
      <w:b/>
      <w:bCs/>
      <w:sz w:val="24"/>
      <w:szCs w:val="24"/>
    </w:rPr>
  </w:style>
  <w:style w:type="character" w:styleId="1056" w:customStyle="1">
    <w:name w:val="标题 8 Char"/>
    <w:link w:val="1048"/>
    <w:uiPriority w:val="0"/>
    <w:qFormat/>
    <w:rPr>
      <w:rFonts w:ascii="Arial" w:hAnsi="Arial" w:eastAsia="黑体" w:cs="Times New Roman"/>
      <w:sz w:val="24"/>
      <w:szCs w:val="24"/>
    </w:rPr>
  </w:style>
  <w:style w:type="character" w:styleId="1057" w:customStyle="1">
    <w:name w:val="标题 9 Char"/>
    <w:link w:val="1049"/>
    <w:uiPriority w:val="0"/>
    <w:qFormat/>
    <w:rPr>
      <w:rFonts w:ascii="Arial" w:hAnsi="Arial" w:eastAsia="黑体" w:cs="Times New Roman"/>
      <w:szCs w:val="21"/>
    </w:rPr>
  </w:style>
  <w:style w:type="paragraph" w:styleId="1058" w:customStyle="1">
    <w:name w:val="列表 31"/>
    <w:basedOn w:val="806"/>
    <w:uiPriority w:val="0"/>
    <w:qFormat/>
    <w:pPr>
      <w:ind w:left="100" w:hanging="200"/>
    </w:pPr>
  </w:style>
  <w:style w:type="paragraph" w:styleId="1059" w:customStyle="1">
    <w:name w:val="目录 71"/>
    <w:basedOn w:val="806"/>
    <w:next w:val="806"/>
    <w:uiPriority w:val="0"/>
    <w:semiHidden/>
    <w:qFormat/>
    <w:pPr>
      <w:ind w:left="1260"/>
      <w:jc w:val="left"/>
    </w:pPr>
  </w:style>
  <w:style w:type="paragraph" w:styleId="1060" w:customStyle="1">
    <w:name w:val="文档结构图1"/>
    <w:basedOn w:val="806"/>
    <w:link w:val="1061"/>
    <w:uiPriority w:val="0"/>
    <w:semiHidden/>
    <w:qFormat/>
    <w:pPr>
      <w:shd w:val="clear" w:color="auto" w:fill="000080"/>
    </w:pPr>
  </w:style>
  <w:style w:type="character" w:styleId="1061" w:customStyle="1">
    <w:name w:val="文档结构图 Char"/>
    <w:link w:val="1060"/>
    <w:uiPriority w:val="0"/>
    <w:semiHidden/>
    <w:qFormat/>
    <w:rPr>
      <w:rFonts w:ascii="Times New Roman" w:hAnsi="Times New Roman" w:eastAsia="宋体" w:cs="Times New Roman"/>
      <w:szCs w:val="21"/>
      <w:shd w:val="clear" w:color="auto" w:fill="000080"/>
    </w:rPr>
  </w:style>
  <w:style w:type="paragraph" w:styleId="1062" w:customStyle="1">
    <w:name w:val="批注文字1"/>
    <w:basedOn w:val="806"/>
    <w:link w:val="1063"/>
    <w:uiPriority w:val="0"/>
    <w:semiHidden/>
    <w:qFormat/>
    <w:pPr>
      <w:jc w:val="left"/>
    </w:pPr>
  </w:style>
  <w:style w:type="character" w:styleId="1063" w:customStyle="1">
    <w:name w:val="批注文字 Char"/>
    <w:link w:val="1062"/>
    <w:uiPriority w:val="0"/>
    <w:semiHidden/>
    <w:qFormat/>
    <w:rPr>
      <w:rFonts w:ascii="Times New Roman" w:hAnsi="Times New Roman" w:eastAsia="宋体" w:cs="Times New Roman"/>
      <w:szCs w:val="21"/>
    </w:rPr>
  </w:style>
  <w:style w:type="paragraph" w:styleId="1064" w:customStyle="1">
    <w:name w:val="正文文本 31"/>
    <w:basedOn w:val="806"/>
    <w:link w:val="1065"/>
    <w:uiPriority w:val="0"/>
    <w:qFormat/>
    <w:rPr>
      <w:rFonts w:ascii="仿宋_GB2312" w:hAnsi="Arial" w:eastAsia="仿宋_GB2312"/>
      <w:sz w:val="32"/>
      <w:szCs w:val="32"/>
    </w:rPr>
  </w:style>
  <w:style w:type="character" w:styleId="1065" w:customStyle="1">
    <w:name w:val="正文文本 3 Char"/>
    <w:link w:val="1064"/>
    <w:uiPriority w:val="0"/>
    <w:qFormat/>
    <w:rPr>
      <w:rFonts w:ascii="仿宋_GB2312" w:hAnsi="Arial" w:eastAsia="仿宋_GB2312" w:cs="Times New Roman"/>
      <w:sz w:val="32"/>
      <w:szCs w:val="32"/>
    </w:rPr>
  </w:style>
  <w:style w:type="paragraph" w:styleId="1066" w:customStyle="1">
    <w:name w:val="正文文本缩进1"/>
    <w:basedOn w:val="806"/>
    <w:next w:val="806"/>
    <w:link w:val="1067"/>
    <w:uiPriority w:val="0"/>
    <w:qFormat/>
    <w:pPr>
      <w:ind w:firstLine="645"/>
    </w:pPr>
    <w:rPr>
      <w:rFonts w:ascii="楷体_GB2312" w:eastAsia="楷体_GB2312"/>
      <w:sz w:val="32"/>
      <w:szCs w:val="32"/>
    </w:rPr>
  </w:style>
  <w:style w:type="character" w:styleId="1067" w:customStyle="1">
    <w:name w:val="正文文本缩进 Char"/>
    <w:link w:val="1066"/>
    <w:uiPriority w:val="0"/>
    <w:qFormat/>
    <w:rPr>
      <w:rFonts w:ascii="楷体_GB2312" w:hAnsi="Times New Roman" w:eastAsia="楷体_GB2312" w:cs="Times New Roman"/>
      <w:sz w:val="32"/>
      <w:szCs w:val="32"/>
    </w:rPr>
  </w:style>
  <w:style w:type="paragraph" w:styleId="1068" w:customStyle="1">
    <w:name w:val="列表 21"/>
    <w:basedOn w:val="806"/>
    <w:uiPriority w:val="0"/>
    <w:qFormat/>
    <w:pPr>
      <w:ind w:left="100" w:hanging="200"/>
    </w:pPr>
  </w:style>
  <w:style w:type="paragraph" w:styleId="1069" w:customStyle="1">
    <w:name w:val="目录 51"/>
    <w:basedOn w:val="806"/>
    <w:next w:val="806"/>
    <w:uiPriority w:val="0"/>
    <w:semiHidden/>
    <w:qFormat/>
    <w:pPr>
      <w:ind w:left="840"/>
      <w:jc w:val="left"/>
    </w:pPr>
  </w:style>
  <w:style w:type="paragraph" w:styleId="1070" w:customStyle="1">
    <w:name w:val="目录 31"/>
    <w:basedOn w:val="806"/>
    <w:next w:val="806"/>
    <w:uiPriority w:val="0"/>
    <w:semiHidden/>
    <w:qFormat/>
    <w:pPr>
      <w:ind w:left="420"/>
      <w:jc w:val="left"/>
    </w:pPr>
    <w:rPr>
      <w:i/>
      <w:iCs/>
      <w:szCs w:val="24"/>
    </w:rPr>
  </w:style>
  <w:style w:type="paragraph" w:styleId="1071" w:customStyle="1">
    <w:name w:val="纯文本1"/>
    <w:basedOn w:val="806"/>
    <w:link w:val="1072"/>
    <w:uiPriority w:val="0"/>
    <w:qFormat/>
    <w:rPr>
      <w:rFonts w:ascii="宋体" w:hAnsi="Courier New" w:cs="Courier New"/>
    </w:rPr>
  </w:style>
  <w:style w:type="character" w:styleId="1072" w:customStyle="1">
    <w:name w:val="纯文本 Char"/>
    <w:link w:val="1071"/>
    <w:uiPriority w:val="0"/>
    <w:qFormat/>
    <w:rPr>
      <w:rFonts w:ascii="宋体" w:hAnsi="Courier New" w:eastAsia="宋体" w:cs="Courier New"/>
      <w:szCs w:val="21"/>
    </w:rPr>
  </w:style>
  <w:style w:type="paragraph" w:styleId="1073" w:customStyle="1">
    <w:name w:val="目录 81"/>
    <w:basedOn w:val="806"/>
    <w:next w:val="806"/>
    <w:uiPriority w:val="0"/>
    <w:semiHidden/>
    <w:qFormat/>
    <w:pPr>
      <w:ind w:left="1470"/>
      <w:jc w:val="left"/>
    </w:pPr>
  </w:style>
  <w:style w:type="paragraph" w:styleId="1074" w:customStyle="1">
    <w:name w:val="日期1"/>
    <w:basedOn w:val="806"/>
    <w:next w:val="806"/>
    <w:link w:val="1075"/>
    <w:uiPriority w:val="0"/>
    <w:qFormat/>
    <w:rPr>
      <w:sz w:val="24"/>
      <w:szCs w:val="24"/>
    </w:rPr>
  </w:style>
  <w:style w:type="character" w:styleId="1075" w:customStyle="1">
    <w:name w:val="日期 Char"/>
    <w:link w:val="1074"/>
    <w:uiPriority w:val="0"/>
    <w:qFormat/>
    <w:rPr>
      <w:rFonts w:ascii="Times New Roman" w:hAnsi="Times New Roman" w:eastAsia="宋体" w:cs="Times New Roman"/>
      <w:sz w:val="24"/>
      <w:szCs w:val="24"/>
    </w:rPr>
  </w:style>
  <w:style w:type="paragraph" w:styleId="1076" w:customStyle="1">
    <w:name w:val="正文文本缩进 21"/>
    <w:basedOn w:val="806"/>
    <w:link w:val="1077"/>
    <w:uiPriority w:val="0"/>
    <w:qFormat/>
    <w:pPr>
      <w:ind w:left="630" w:firstLine="645"/>
    </w:pPr>
    <w:rPr>
      <w:rFonts w:ascii="Arial" w:hAnsi="Arial" w:eastAsia="仿宋_GB2312" w:cs="Arial"/>
      <w:sz w:val="32"/>
      <w:szCs w:val="32"/>
    </w:rPr>
  </w:style>
  <w:style w:type="character" w:styleId="1077" w:customStyle="1">
    <w:name w:val="正文文本缩进 2 Char"/>
    <w:link w:val="1076"/>
    <w:uiPriority w:val="0"/>
    <w:qFormat/>
    <w:rPr>
      <w:rFonts w:ascii="Arial" w:hAnsi="Arial" w:eastAsia="仿宋_GB2312" w:cs="Arial"/>
      <w:sz w:val="32"/>
      <w:szCs w:val="32"/>
    </w:rPr>
  </w:style>
  <w:style w:type="paragraph" w:styleId="1078" w:customStyle="1">
    <w:name w:val="批注框文本1"/>
    <w:basedOn w:val="806"/>
    <w:link w:val="1079"/>
    <w:uiPriority w:val="0"/>
    <w:semiHidden/>
    <w:qFormat/>
    <w:rPr>
      <w:sz w:val="18"/>
      <w:szCs w:val="18"/>
    </w:rPr>
  </w:style>
  <w:style w:type="character" w:styleId="1079" w:customStyle="1">
    <w:name w:val="批注框文本 Char"/>
    <w:link w:val="1078"/>
    <w:uiPriority w:val="0"/>
    <w:semiHidden/>
    <w:qFormat/>
    <w:rPr>
      <w:rFonts w:ascii="Times New Roman" w:hAnsi="Times New Roman" w:eastAsia="宋体" w:cs="Times New Roman"/>
      <w:sz w:val="18"/>
      <w:szCs w:val="18"/>
    </w:rPr>
  </w:style>
  <w:style w:type="paragraph" w:styleId="1080" w:customStyle="1">
    <w:name w:val="页脚1"/>
    <w:basedOn w:val="806"/>
    <w:link w:val="1081"/>
    <w:uiPriority w:val="0"/>
    <w:qFormat/>
    <w:pPr>
      <w:jc w:val="left"/>
      <w:tabs>
        <w:tab w:val="center" w:pos="4153" w:leader="none"/>
        <w:tab w:val="right" w:pos="8306" w:leader="none"/>
      </w:tabs>
    </w:pPr>
    <w:rPr>
      <w:sz w:val="18"/>
      <w:szCs w:val="18"/>
    </w:rPr>
  </w:style>
  <w:style w:type="character" w:styleId="1081" w:customStyle="1">
    <w:name w:val="页脚 Char"/>
    <w:link w:val="1080"/>
    <w:uiPriority w:val="0"/>
    <w:qFormat/>
    <w:rPr>
      <w:rFonts w:ascii="Times New Roman" w:hAnsi="Times New Roman" w:eastAsia="宋体" w:cs="Times New Roman"/>
      <w:sz w:val="18"/>
      <w:szCs w:val="18"/>
    </w:rPr>
  </w:style>
  <w:style w:type="paragraph" w:styleId="1082" w:customStyle="1">
    <w:name w:val="寄信人地址1"/>
    <w:basedOn w:val="1083"/>
    <w:uiPriority w:val="99"/>
    <w:unhideWhenUsed/>
    <w:qFormat/>
    <w:rPr>
      <w:rFonts w:ascii="Arial" w:hAnsi="Arial"/>
    </w:rPr>
  </w:style>
  <w:style w:type="paragraph" w:styleId="1083" w:customStyle="1">
    <w:name w:val="正文_16"/>
    <w:next w:val="1084"/>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正文文本 2_0"/>
    <w:basedOn w:val="1083"/>
    <w:uiPriority w:val="0"/>
    <w:qFormat/>
    <w:rPr>
      <w:rFonts w:ascii="仿宋_GB2312" w:eastAsia="仿宋_GB2312"/>
      <w:sz w:val="28"/>
    </w:rPr>
  </w:style>
  <w:style w:type="paragraph" w:styleId="1085" w:customStyle="1">
    <w:name w:val="正文首行缩进 2_0"/>
    <w:basedOn w:val="1086"/>
    <w:uiPriority w:val="0"/>
    <w:qFormat/>
    <w:pPr>
      <w:ind w:left="200" w:firstLine="200"/>
      <w:spacing w:after="120"/>
    </w:pPr>
    <w:rPr>
      <w:rFonts w:ascii="Times New Roman" w:hAnsi="Times New Roman"/>
      <w:sz w:val="24"/>
      <w:szCs w:val="24"/>
    </w:rPr>
  </w:style>
  <w:style w:type="paragraph" w:styleId="1086" w:customStyle="1">
    <w:name w:val="正文文本缩进_0"/>
    <w:basedOn w:val="1083"/>
    <w:uiPriority w:val="0"/>
    <w:qFormat/>
    <w:pPr>
      <w:ind w:firstLine="225"/>
    </w:pPr>
    <w:rPr>
      <w:rFonts w:ascii="仿宋_GB2312" w:eastAsia="仿宋_GB2312"/>
      <w:sz w:val="32"/>
    </w:rPr>
  </w:style>
  <w:style w:type="paragraph" w:styleId="1087" w:customStyle="1">
    <w:name w:val="页眉1"/>
    <w:basedOn w:val="806"/>
    <w:link w:val="1088"/>
    <w:uiPriority w:val="0"/>
    <w:qFormat/>
    <w:pPr>
      <w:jc w:val="center"/>
      <w:tabs>
        <w:tab w:val="center" w:pos="4153" w:leader="none"/>
        <w:tab w:val="right" w:pos="8306" w:leader="none"/>
      </w:tabs>
      <w:pBdr>
        <w:bottom w:val="single" w:color="000000" w:sz="6" w:space="1"/>
      </w:pBdr>
    </w:pPr>
    <w:rPr>
      <w:sz w:val="18"/>
      <w:szCs w:val="18"/>
    </w:rPr>
  </w:style>
  <w:style w:type="character" w:styleId="1088" w:customStyle="1">
    <w:name w:val="页眉 Char"/>
    <w:link w:val="1087"/>
    <w:uiPriority w:val="0"/>
    <w:qFormat/>
    <w:rPr>
      <w:rFonts w:ascii="Times New Roman" w:hAnsi="Times New Roman" w:eastAsia="宋体" w:cs="Times New Roman"/>
      <w:sz w:val="18"/>
      <w:szCs w:val="18"/>
    </w:rPr>
  </w:style>
  <w:style w:type="paragraph" w:styleId="1089" w:customStyle="1">
    <w:name w:val="目录 11"/>
    <w:basedOn w:val="806"/>
    <w:next w:val="806"/>
    <w:uiPriority w:val="0"/>
    <w:semiHidden/>
    <w:qFormat/>
    <w:pPr>
      <w:jc w:val="left"/>
      <w:spacing w:before="120" w:after="120" w:line="400" w:lineRule="exact"/>
      <w:tabs>
        <w:tab w:val="right" w:pos="8720" w:leader="dot"/>
      </w:tabs>
    </w:pPr>
    <w:rPr>
      <w:rFonts w:ascii="宋体" w:hAnsi="宋体"/>
      <w:caps/>
      <w:sz w:val="24"/>
      <w:szCs w:val="24"/>
    </w:rPr>
  </w:style>
  <w:style w:type="paragraph" w:styleId="1090" w:customStyle="1">
    <w:name w:val="目录 41"/>
    <w:basedOn w:val="806"/>
    <w:next w:val="806"/>
    <w:uiPriority w:val="0"/>
    <w:semiHidden/>
    <w:qFormat/>
    <w:pPr>
      <w:ind w:left="630"/>
      <w:jc w:val="left"/>
    </w:pPr>
  </w:style>
  <w:style w:type="paragraph" w:styleId="1091" w:customStyle="1">
    <w:name w:val="列表1"/>
    <w:basedOn w:val="806"/>
    <w:uiPriority w:val="0"/>
    <w:qFormat/>
    <w:pPr>
      <w:ind w:left="200" w:hanging="200"/>
    </w:pPr>
  </w:style>
  <w:style w:type="paragraph" w:styleId="1092" w:customStyle="1">
    <w:name w:val="目录 61"/>
    <w:basedOn w:val="806"/>
    <w:next w:val="806"/>
    <w:uiPriority w:val="0"/>
    <w:semiHidden/>
    <w:qFormat/>
    <w:pPr>
      <w:ind w:left="1050"/>
      <w:jc w:val="left"/>
    </w:pPr>
  </w:style>
  <w:style w:type="paragraph" w:styleId="1093" w:customStyle="1">
    <w:name w:val="正文文本缩进 31"/>
    <w:basedOn w:val="806"/>
    <w:link w:val="1094"/>
    <w:uiPriority w:val="0"/>
    <w:qFormat/>
    <w:pPr>
      <w:ind w:left="645" w:firstLine="645"/>
    </w:pPr>
    <w:rPr>
      <w:rFonts w:ascii="Arial" w:hAnsi="Arial" w:eastAsia="仿宋_GB2312" w:cs="Arial"/>
      <w:color w:val="ffff00"/>
      <w:sz w:val="32"/>
      <w:szCs w:val="32"/>
    </w:rPr>
  </w:style>
  <w:style w:type="character" w:styleId="1094" w:customStyle="1">
    <w:name w:val="正文文本缩进 3 Char"/>
    <w:link w:val="1093"/>
    <w:uiPriority w:val="0"/>
    <w:qFormat/>
    <w:rPr>
      <w:rFonts w:ascii="Arial" w:hAnsi="Arial" w:eastAsia="仿宋_GB2312" w:cs="Arial"/>
      <w:color w:val="ffff00"/>
      <w:sz w:val="32"/>
      <w:szCs w:val="32"/>
    </w:rPr>
  </w:style>
  <w:style w:type="paragraph" w:styleId="1095" w:customStyle="1">
    <w:name w:val="图表目录1"/>
    <w:basedOn w:val="806"/>
    <w:next w:val="806"/>
    <w:uiPriority w:val="0"/>
    <w:semiHidden/>
    <w:qFormat/>
    <w:pPr>
      <w:ind w:left="840" w:hanging="420"/>
    </w:pPr>
  </w:style>
  <w:style w:type="paragraph" w:styleId="1096" w:customStyle="1">
    <w:name w:val="目录 21"/>
    <w:basedOn w:val="806"/>
    <w:next w:val="806"/>
    <w:uiPriority w:val="0"/>
    <w:semiHidden/>
    <w:qFormat/>
    <w:pPr>
      <w:ind w:left="210"/>
      <w:jc w:val="left"/>
    </w:pPr>
    <w:rPr>
      <w:smallCaps/>
      <w:szCs w:val="24"/>
    </w:rPr>
  </w:style>
  <w:style w:type="paragraph" w:styleId="1097" w:customStyle="1">
    <w:name w:val="目录 91"/>
    <w:basedOn w:val="806"/>
    <w:next w:val="806"/>
    <w:uiPriority w:val="0"/>
    <w:semiHidden/>
    <w:qFormat/>
    <w:pPr>
      <w:ind w:left="1680"/>
      <w:jc w:val="left"/>
    </w:pPr>
  </w:style>
  <w:style w:type="paragraph" w:styleId="1098" w:customStyle="1">
    <w:name w:val="正文文本 21"/>
    <w:basedOn w:val="806"/>
    <w:link w:val="1099"/>
    <w:uiPriority w:val="0"/>
    <w:qFormat/>
    <w:pPr>
      <w:jc w:val="center"/>
      <w:widowControl/>
    </w:pPr>
    <w:rPr>
      <w:rFonts w:ascii="楷体_GB2312" w:eastAsia="楷体_GB2312"/>
      <w:sz w:val="28"/>
      <w:szCs w:val="28"/>
    </w:rPr>
  </w:style>
  <w:style w:type="character" w:styleId="1099" w:customStyle="1">
    <w:name w:val="正文文本 2 Char"/>
    <w:link w:val="1098"/>
    <w:uiPriority w:val="0"/>
    <w:qFormat/>
    <w:rPr>
      <w:rFonts w:ascii="楷体_GB2312" w:hAnsi="Times New Roman" w:eastAsia="楷体_GB2312" w:cs="Times New Roman"/>
      <w:sz w:val="28"/>
      <w:szCs w:val="28"/>
    </w:rPr>
  </w:style>
  <w:style w:type="paragraph" w:styleId="1100" w:customStyle="1">
    <w:name w:val="列表接续 21"/>
    <w:basedOn w:val="806"/>
    <w:next w:val="806"/>
    <w:uiPriority w:val="0"/>
    <w:qFormat/>
    <w:pPr>
      <w:ind w:left="840"/>
      <w:spacing w:after="120"/>
    </w:pPr>
  </w:style>
  <w:style w:type="paragraph" w:styleId="1101" w:customStyle="1">
    <w:name w:val="普通(网站)1"/>
    <w:basedOn w:val="806"/>
    <w:uiPriority w:val="99"/>
    <w:qFormat/>
    <w:pPr>
      <w:jc w:val="left"/>
      <w:spacing w:before="100" w:beforeAutospacing="1" w:after="100" w:afterAutospacing="1"/>
      <w:widowControl/>
    </w:pPr>
    <w:rPr>
      <w:rFonts w:ascii="宋体" w:hAnsi="宋体" w:cs="宋体"/>
      <w:sz w:val="24"/>
      <w:szCs w:val="24"/>
    </w:rPr>
  </w:style>
  <w:style w:type="paragraph" w:styleId="1102" w:customStyle="1">
    <w:name w:val="索引 11"/>
    <w:basedOn w:val="806"/>
    <w:next w:val="806"/>
    <w:uiPriority w:val="0"/>
    <w:semiHidden/>
    <w:qFormat/>
    <w:pPr>
      <w:spacing w:line="240" w:lineRule="atLeast"/>
    </w:pPr>
    <w:rPr>
      <w:b/>
      <w:bCs/>
    </w:rPr>
  </w:style>
  <w:style w:type="paragraph" w:styleId="1103" w:customStyle="1">
    <w:name w:val="批注主题1"/>
    <w:basedOn w:val="1062"/>
    <w:next w:val="1062"/>
    <w:link w:val="1104"/>
    <w:uiPriority w:val="0"/>
    <w:semiHidden/>
    <w:qFormat/>
    <w:rPr>
      <w:b/>
      <w:bCs/>
    </w:rPr>
  </w:style>
  <w:style w:type="character" w:styleId="1104" w:customStyle="1">
    <w:name w:val="批注主题 Char"/>
    <w:link w:val="1103"/>
    <w:uiPriority w:val="0"/>
    <w:semiHidden/>
    <w:qFormat/>
    <w:rPr>
      <w:rFonts w:ascii="Times New Roman" w:hAnsi="Times New Roman" w:eastAsia="宋体" w:cs="Times New Roman"/>
      <w:b/>
      <w:bCs/>
      <w:szCs w:val="21"/>
    </w:rPr>
  </w:style>
  <w:style w:type="paragraph" w:styleId="1105" w:customStyle="1">
    <w:name w:val="正文首行缩进11"/>
    <w:basedOn w:val="806"/>
    <w:link w:val="1106"/>
    <w:uiPriority w:val="0"/>
    <w:qFormat/>
    <w:pPr>
      <w:ind w:firstLine="200"/>
      <w:spacing w:line="360" w:lineRule="auto"/>
    </w:pPr>
    <w:rPr>
      <w:rFonts w:ascii="仿宋_GB2312" w:eastAsia="仿宋_GB2312"/>
      <w:sz w:val="30"/>
      <w:szCs w:val="30"/>
    </w:rPr>
  </w:style>
  <w:style w:type="character" w:styleId="1106" w:customStyle="1">
    <w:name w:val="正文首行缩进 Char"/>
    <w:link w:val="1105"/>
    <w:uiPriority w:val="0"/>
    <w:qFormat/>
    <w:rPr>
      <w:rFonts w:ascii="仿宋_GB2312" w:hAnsi="Times New Roman" w:eastAsia="仿宋_GB2312" w:cs="Times New Roman"/>
      <w:sz w:val="30"/>
      <w:szCs w:val="30"/>
    </w:rPr>
  </w:style>
  <w:style w:type="paragraph" w:styleId="1107" w:customStyle="1">
    <w:name w:val="正文首行缩进 21"/>
    <w:basedOn w:val="1066"/>
    <w:link w:val="1108"/>
    <w:uiPriority w:val="0"/>
    <w:qFormat/>
    <w:pPr>
      <w:ind w:firstLine="420"/>
      <w:spacing w:line="360" w:lineRule="auto"/>
    </w:pPr>
    <w:rPr>
      <w:rFonts w:ascii="宋体" w:hAnsi="宋体" w:eastAsia="宋体"/>
      <w:sz w:val="21"/>
      <w:szCs w:val="20"/>
    </w:rPr>
  </w:style>
  <w:style w:type="character" w:styleId="1108" w:customStyle="1">
    <w:name w:val="正文首行缩进 2 Char"/>
    <w:link w:val="1107"/>
    <w:uiPriority w:val="0"/>
    <w:qFormat/>
    <w:rPr>
      <w:rFonts w:ascii="宋体" w:hAnsi="宋体" w:eastAsia="宋体" w:cs="Times New Roman"/>
      <w:sz w:val="32"/>
      <w:szCs w:val="20"/>
    </w:rPr>
  </w:style>
  <w:style w:type="table" w:styleId="1109" w:customStyle="1">
    <w:name w:val="网格型1"/>
    <w:basedOn w:val="1051"/>
    <w:uiPriority w:val="0"/>
    <w:qFormat/>
    <w:pPr>
      <w:jc w:val="both"/>
      <w:widowControl w:val="off"/>
    </w:pPr>
    <w:tblPr/>
  </w:style>
  <w:style w:type="character" w:styleId="1110" w:customStyle="1">
    <w:name w:val="要点1"/>
    <w:uiPriority w:val="0"/>
    <w:qFormat/>
    <w:rPr>
      <w:b/>
      <w:bCs/>
    </w:rPr>
  </w:style>
  <w:style w:type="character" w:styleId="1111" w:customStyle="1">
    <w:name w:val="页码1"/>
    <w:uiPriority w:val="0"/>
    <w:qFormat/>
  </w:style>
  <w:style w:type="character" w:styleId="1112" w:customStyle="1">
    <w:name w:val="已访问的超链接1"/>
    <w:uiPriority w:val="0"/>
    <w:qFormat/>
    <w:rPr>
      <w:color w:val="800080"/>
      <w:u w:val="single"/>
    </w:rPr>
  </w:style>
  <w:style w:type="character" w:styleId="1113" w:customStyle="1">
    <w:name w:val="超链接1"/>
    <w:uiPriority w:val="0"/>
    <w:qFormat/>
    <w:rPr>
      <w:color w:val="0000ff"/>
      <w:u w:val="single"/>
    </w:rPr>
  </w:style>
  <w:style w:type="character" w:styleId="1114" w:customStyle="1">
    <w:name w:val="批注引用1"/>
    <w:uiPriority w:val="0"/>
    <w:semiHidden/>
    <w:qFormat/>
    <w:rPr>
      <w:sz w:val="21"/>
      <w:szCs w:val="21"/>
    </w:rPr>
  </w:style>
  <w:style w:type="character" w:styleId="1115" w:customStyle="1">
    <w:name w:val="列出段落 Char"/>
    <w:link w:val="1116"/>
    <w:uiPriority w:val="0"/>
    <w:qFormat/>
    <w:rPr>
      <w:rFonts w:ascii="Calibri" w:hAnsi="Calibri"/>
      <w:sz w:val="24"/>
      <w:szCs w:val="24"/>
      <w:lang w:eastAsia="en-US" w:bidi="en-US"/>
    </w:rPr>
  </w:style>
  <w:style w:type="paragraph" w:styleId="1116" w:customStyle="1">
    <w:name w:val="列出段落1"/>
    <w:basedOn w:val="806"/>
    <w:link w:val="1115"/>
    <w:uiPriority w:val="0"/>
    <w:qFormat/>
    <w:pPr>
      <w:contextualSpacing/>
      <w:ind w:left="720"/>
      <w:jc w:val="left"/>
      <w:widowControl/>
    </w:pPr>
    <w:rPr>
      <w:rFonts w:ascii="Calibri" w:hAnsi="Calibri"/>
      <w:sz w:val="24"/>
      <w:szCs w:val="24"/>
      <w:lang w:eastAsia="en-US" w:bidi="en-US"/>
    </w:rPr>
  </w:style>
  <w:style w:type="character" w:styleId="1117" w:customStyle="1">
    <w:name w:val="font5 Char"/>
    <w:uiPriority w:val="0"/>
    <w:qFormat/>
    <w:rPr>
      <w:rFonts w:ascii="宋体" w:hAnsi="宋体" w:eastAsia="宋体"/>
      <w:sz w:val="28"/>
      <w:szCs w:val="28"/>
      <w:lang w:val="en-US" w:eastAsia="zh-CN" w:bidi="ar-SA"/>
    </w:rPr>
  </w:style>
  <w:style w:type="character" w:styleId="1118" w:customStyle="1">
    <w:name w:val="二级目录 Char"/>
    <w:link w:val="1119"/>
    <w:uiPriority w:val="0"/>
    <w:qFormat/>
    <w:rPr>
      <w:b/>
      <w:sz w:val="30"/>
      <w:szCs w:val="28"/>
    </w:rPr>
  </w:style>
  <w:style w:type="paragraph" w:styleId="1119" w:customStyle="1">
    <w:name w:val="二级目录"/>
    <w:next w:val="806"/>
    <w:link w:val="111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120" w:customStyle="1">
    <w:name w:val="首行缩进"/>
    <w:basedOn w:val="806"/>
    <w:uiPriority w:val="0"/>
    <w:qFormat/>
    <w:pPr>
      <w:ind w:firstLine="480"/>
    </w:pPr>
    <w:rPr>
      <w:lang w:val="zh-CN"/>
    </w:rPr>
  </w:style>
  <w:style w:type="paragraph" w:styleId="1121" w:customStyle="1">
    <w:name w:val="正文_3_0_0"/>
    <w:next w:val="1122"/>
    <w:uiPriority w:val="0"/>
    <w:unhideWhenUsed/>
    <w:qFormat/>
    <w:pPr>
      <w:jc w:val="both"/>
      <w:widowControl w:val="off"/>
    </w:pPr>
    <w:rPr>
      <w:rFonts w:ascii="Calibri" w:hAnsi="Calibri" w:eastAsia="宋体" w:cs="Times New Roman"/>
      <w:sz w:val="21"/>
      <w:szCs w:val="24"/>
      <w:lang w:val="en-US" w:eastAsia="zh-CN" w:bidi="ar-SA"/>
    </w:rPr>
  </w:style>
  <w:style w:type="paragraph" w:styleId="1122" w:customStyle="1">
    <w:name w:val="正文文本缩进_1_0_0"/>
    <w:basedOn w:val="1121"/>
    <w:next w:val="1121"/>
    <w:uiPriority w:val="99"/>
    <w:unhideWhenUsed/>
    <w:qFormat/>
    <w:pPr>
      <w:ind w:firstLine="225"/>
    </w:pPr>
    <w:rPr>
      <w:rFonts w:hint="eastAsia" w:ascii="仿宋_GB2312" w:eastAsia="仿宋_GB2312"/>
      <w:sz w:val="32"/>
    </w:rPr>
  </w:style>
  <w:style w:type="paragraph" w:styleId="1123" w:customStyle="1">
    <w:name w:val="索引 41"/>
    <w:basedOn w:val="806"/>
    <w:next w:val="806"/>
    <w:uiPriority w:val="0"/>
    <w:semiHidden/>
    <w:qFormat/>
    <w:pPr>
      <w:ind w:left="1260"/>
    </w:pPr>
    <w:rPr>
      <w:rFonts w:ascii="Calibri" w:hAnsi="Calibri" w:eastAsia="Calibri" w:cs="宋体"/>
      <w:sz w:val="20"/>
      <w:lang w:val="zh-CN"/>
    </w:rPr>
  </w:style>
  <w:style w:type="paragraph" w:styleId="1124" w:customStyle="1">
    <w:name w:val="Normal_13_0"/>
    <w:uiPriority w:val="0"/>
    <w:qFormat/>
    <w:rPr>
      <w:rFonts w:ascii="黑体" w:hAnsi="黑体" w:eastAsia="黑体" w:cs="黑体"/>
      <w:b/>
      <w:sz w:val="32"/>
      <w:szCs w:val="24"/>
      <w:lang w:val="en-US" w:eastAsia="zh-CN" w:bidi="ar-SA"/>
    </w:rPr>
  </w:style>
  <w:style w:type="paragraph" w:styleId="1125" w:customStyle="1">
    <w:name w:val="table_1stline"/>
    <w:basedOn w:val="806"/>
    <w:uiPriority w:val="0"/>
    <w:qFormat/>
    <w:pPr>
      <w:jc w:val="left"/>
      <w:spacing w:before="120"/>
      <w:widowControl/>
    </w:pPr>
    <w:rPr>
      <w:bCs/>
      <w:sz w:val="20"/>
      <w:szCs w:val="20"/>
      <w:lang w:val="de-DE" w:eastAsia="de-DE"/>
    </w:rPr>
  </w:style>
  <w:style w:type="paragraph" w:styleId="1126" w:customStyle="1">
    <w:name w:val="正文_12_0_0_0_0"/>
    <w:basedOn w:val="806"/>
    <w:uiPriority w:val="0"/>
    <w:qFormat/>
    <w:rPr>
      <w:szCs w:val="24"/>
    </w:rPr>
  </w:style>
  <w:style w:type="paragraph" w:styleId="1127" w:customStyle="1">
    <w:name w:val="正文_3_0"/>
    <w:next w:val="1086"/>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正文文本缩进_1_0"/>
    <w:basedOn w:val="1127"/>
    <w:next w:val="1127"/>
    <w:uiPriority w:val="99"/>
    <w:unhideWhenUsed/>
    <w:qFormat/>
    <w:pPr>
      <w:ind w:firstLine="225"/>
    </w:pPr>
    <w:rPr>
      <w:rFonts w:hint="eastAsia" w:ascii="仿宋_GB2312" w:eastAsia="仿宋_GB2312"/>
      <w:sz w:val="32"/>
      <w:szCs w:val="24"/>
    </w:rPr>
  </w:style>
  <w:style w:type="paragraph" w:styleId="1129"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130" w:customStyle="1">
    <w:name w:val="标题1"/>
    <w:basedOn w:val="806"/>
    <w:next w:val="8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4"/>
    <w:basedOn w:val="806"/>
    <w:next w:val="1093"/>
    <w:uiPriority w:val="0"/>
    <w:qFormat/>
    <w:pPr>
      <w:ind w:firstLine="420"/>
      <w:spacing w:line="360" w:lineRule="auto"/>
    </w:pPr>
    <w:rPr>
      <w:color w:val="ff0000"/>
      <w:sz w:val="24"/>
      <w:szCs w:val="24"/>
    </w:rPr>
  </w:style>
  <w:style w:type="paragraph" w:styleId="1133" w:customStyle="1">
    <w:name w:val="左对齐正文"/>
    <w:uiPriority w:val="99"/>
    <w:qFormat/>
    <w:rPr>
      <w:rFonts w:ascii="Calibri" w:hAnsi="Calibri" w:eastAsia="仿宋_GB2312" w:cs="Calibri"/>
      <w:sz w:val="32"/>
      <w:szCs w:val="32"/>
      <w:lang w:val="en-US" w:eastAsia="zh-CN" w:bidi="ar-SA"/>
    </w:rPr>
  </w:style>
  <w:style w:type="paragraph" w:styleId="1134" w:customStyle="1">
    <w:name w:val="xl24"/>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13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1138" w:customStyle="1">
    <w:name w:val="正文_16_0_0"/>
    <w:next w:val="1135"/>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Char"/>
    <w:basedOn w:val="1060"/>
    <w:uiPriority w:val="0"/>
    <w:qFormat/>
    <w:rPr>
      <w:rFonts w:ascii="Tahoma" w:hAnsi="Tahoma"/>
      <w:sz w:val="24"/>
      <w:szCs w:val="24"/>
    </w:rPr>
  </w:style>
  <w:style w:type="paragraph" w:styleId="1140" w:customStyle="1">
    <w:name w:val="Char1"/>
    <w:basedOn w:val="806"/>
    <w:uiPriority w:val="0"/>
    <w:qFormat/>
    <w:pPr>
      <w:ind w:firstLine="200"/>
      <w:tabs>
        <w:tab w:val="left" w:pos="360" w:leader="none"/>
      </w:tabs>
    </w:pPr>
    <w:rPr>
      <w:sz w:val="28"/>
      <w:szCs w:val="30"/>
    </w:rPr>
  </w:style>
  <w:style w:type="paragraph" w:styleId="1141" w:customStyle="1">
    <w:name w:val="table_lines"/>
    <w:basedOn w:val="806"/>
    <w:uiPriority w:val="0"/>
    <w:qFormat/>
    <w:pPr>
      <w:jc w:val="left"/>
      <w:widowControl/>
    </w:pPr>
    <w:rPr>
      <w:sz w:val="20"/>
      <w:szCs w:val="20"/>
      <w:lang w:val="de-DE" w:eastAsia="de-DE"/>
    </w:rPr>
  </w:style>
  <w:style w:type="paragraph" w:styleId="1142"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3" w:customStyle="1">
    <w:name w:val="Char Char Char Char"/>
    <w:basedOn w:val="1060"/>
    <w:uiPriority w:val="0"/>
    <w:qFormat/>
    <w:pPr>
      <w:spacing w:line="360" w:lineRule="auto"/>
    </w:pPr>
    <w:rPr>
      <w:rFonts w:ascii="Tahoma" w:hAnsi="Tahoma"/>
      <w:sz w:val="24"/>
      <w:szCs w:val="24"/>
    </w:rPr>
  </w:style>
  <w:style w:type="paragraph" w:styleId="1144" w:customStyle="1">
    <w:name w:val="列出段落2"/>
    <w:basedOn w:val="806"/>
    <w:uiPriority w:val="0"/>
    <w:qFormat/>
    <w:pPr>
      <w:contextualSpacing/>
      <w:ind w:left="720"/>
      <w:jc w:val="left"/>
      <w:widowControl/>
    </w:pPr>
    <w:rPr>
      <w:rFonts w:ascii="Calibri" w:hAnsi="Calibri"/>
      <w:sz w:val="24"/>
      <w:szCs w:val="24"/>
      <w:lang w:eastAsia="en-US" w:bidi="en-US"/>
    </w:rPr>
  </w:style>
  <w:style w:type="paragraph" w:styleId="1145" w:customStyle="1">
    <w:name w:val="Normal_18_0"/>
    <w:uiPriority w:val="0"/>
    <w:qFormat/>
    <w:rPr>
      <w:rFonts w:ascii="黑体" w:hAnsi="黑体" w:eastAsia="黑体" w:cs="黑体"/>
      <w:b/>
      <w:sz w:val="32"/>
      <w:szCs w:val="24"/>
      <w:lang w:val="en-US" w:eastAsia="zh-CN" w:bidi="ar-SA"/>
    </w:rPr>
  </w:style>
  <w:style w:type="paragraph" w:styleId="1146" w:customStyle="1">
    <w:name w:val="部分1"/>
    <w:basedOn w:val="806"/>
    <w:uiPriority w:val="0"/>
    <w:qFormat/>
    <w:pPr>
      <w:jc w:val="center"/>
      <w:keepNext/>
      <w:pageBreakBefore/>
      <w:spacing w:line="360" w:lineRule="auto"/>
      <w:tabs>
        <w:tab w:val="left" w:pos="720" w:leader="none"/>
      </w:tabs>
      <w:outlineLvl w:val="0"/>
    </w:pPr>
    <w:rPr>
      <w:rFonts w:eastAsia="黑体"/>
      <w:b/>
      <w:sz w:val="36"/>
      <w:szCs w:val="20"/>
    </w:rPr>
  </w:style>
  <w:style w:type="paragraph" w:styleId="1147" w:customStyle="1">
    <w:name w:val="正文_1"/>
    <w:uiPriority w:val="0"/>
    <w:qFormat/>
    <w:pPr>
      <w:jc w:val="both"/>
      <w:widowControl w:val="off"/>
    </w:pPr>
    <w:rPr>
      <w:rFonts w:ascii="Times New Roman" w:hAnsi="Times New Roman" w:eastAsia="仿宋_GB2312" w:cs="Times New Roman"/>
      <w:sz w:val="28"/>
      <w:szCs w:val="24"/>
      <w:lang w:val="en-US" w:eastAsia="zh-CN" w:bidi="ar-SA"/>
    </w:rPr>
  </w:style>
  <w:style w:type="paragraph" w:styleId="1148" w:customStyle="1">
    <w:name w:val="Normal_1_2"/>
    <w:uiPriority w:val="0"/>
    <w:qFormat/>
    <w:rPr>
      <w:rFonts w:ascii="Times New Roman" w:hAnsi="Times New Roman" w:eastAsia="Times New Roman" w:cs="Times New Roman"/>
      <w:sz w:val="24"/>
      <w:szCs w:val="24"/>
      <w:lang w:val="en-US" w:eastAsia="zh-CN" w:bidi="ar-SA"/>
    </w:rPr>
  </w:style>
  <w:style w:type="paragraph" w:styleId="1149" w:customStyle="1">
    <w:name w:val="正文首行缩进1"/>
    <w:basedOn w:val="868"/>
    <w:uiPriority w:val="0"/>
    <w:qFormat/>
    <w:pPr>
      <w:ind w:firstLine="100"/>
      <w:spacing w:after="120" w:line="240" w:lineRule="auto"/>
    </w:pPr>
    <w:rPr>
      <w:rFonts w:ascii="Times New Roman" w:eastAsia="宋体"/>
      <w:sz w:val="21"/>
    </w:rPr>
  </w:style>
  <w:style w:type="paragraph" w:styleId="1150" w:customStyle="1">
    <w:name w:val="正文文本12"/>
    <w:basedOn w:val="806"/>
    <w:uiPriority w:val="1"/>
    <w:qFormat/>
    <w:pPr>
      <w:ind w:left="120"/>
    </w:pPr>
    <w:rPr>
      <w:rFonts w:ascii="宋体" w:hAnsi="宋体" w:cs="宋体"/>
      <w:lang w:val="zh-CN" w:bidi="zh-CN"/>
    </w:rPr>
  </w:style>
  <w:style w:type="paragraph" w:styleId="115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3"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1154" w:customStyle="1">
    <w:name w:val="标题3"/>
    <w:basedOn w:val="806"/>
    <w:next w:val="806"/>
    <w:uiPriority w:val="0"/>
    <w:qFormat/>
    <w:pPr>
      <w:ind w:firstLine="624"/>
      <w:spacing w:line="590" w:lineRule="atLeast"/>
    </w:pPr>
    <w:rPr>
      <w:rFonts w:ascii="方正黑体_GBK" w:eastAsia="方正黑体_GBK"/>
      <w:sz w:val="32"/>
      <w:szCs w:val="32"/>
    </w:rPr>
  </w:style>
  <w:style w:type="paragraph" w:styleId="1155" w:customStyle="1">
    <w:name w:val="xl2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57" w:customStyle="1">
    <w:name w:val="正文_3_0_0_0_0"/>
    <w:next w:val="1158"/>
    <w:uiPriority w:val="0"/>
    <w:unhideWhenUsed/>
    <w:qFormat/>
    <w:pPr>
      <w:jc w:val="both"/>
      <w:widowControl w:val="off"/>
    </w:pPr>
    <w:rPr>
      <w:rFonts w:ascii="Calibri" w:hAnsi="Calibri" w:eastAsia="宋体" w:cs="Times New Roman"/>
      <w:sz w:val="21"/>
      <w:szCs w:val="24"/>
      <w:lang w:val="en-US" w:eastAsia="zh-CN" w:bidi="ar-SA"/>
    </w:rPr>
  </w:style>
  <w:style w:type="paragraph" w:styleId="1158" w:customStyle="1">
    <w:name w:val="正文文本缩进_1_0_0_0_0"/>
    <w:basedOn w:val="1157"/>
    <w:next w:val="1157"/>
    <w:uiPriority w:val="99"/>
    <w:unhideWhenUsed/>
    <w:qFormat/>
    <w:pPr>
      <w:ind w:firstLine="225"/>
    </w:pPr>
    <w:rPr>
      <w:rFonts w:hint="eastAsia" w:ascii="仿宋_GB2312" w:eastAsia="仿宋_GB2312"/>
      <w:sz w:val="32"/>
    </w:rPr>
  </w:style>
  <w:style w:type="paragraph" w:styleId="1159" w:customStyle="1">
    <w:name w:val="样式1"/>
    <w:basedOn w:val="806"/>
    <w:uiPriority w:val="0"/>
    <w:qFormat/>
    <w:pPr>
      <w:numPr>
        <w:ilvl w:val="0"/>
        <w:numId w:val="3"/>
      </w:numPr>
    </w:pPr>
    <w:rPr>
      <w:rFonts w:ascii="宋体" w:hAnsi="宋体"/>
    </w:rPr>
  </w:style>
  <w:style w:type="paragraph" w:styleId="1160"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1"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1162"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1163"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116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65" w:customStyle="1">
    <w:name w:val="修订1"/>
    <w:uiPriority w:val="99"/>
    <w:semiHidden/>
    <w:qFormat/>
    <w:rPr>
      <w:rFonts w:ascii="Times New Roman" w:hAnsi="Times New Roman" w:eastAsia="宋体" w:cs="Times New Roman"/>
      <w:sz w:val="21"/>
      <w:szCs w:val="21"/>
      <w:lang w:val="en-US" w:eastAsia="zh-CN" w:bidi="ar-SA"/>
    </w:rPr>
  </w:style>
  <w:style w:type="paragraph" w:styleId="116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67"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168" w:customStyle="1">
    <w:name w:val="正文文本缩进_1_0_0_0"/>
    <w:basedOn w:val="1169"/>
    <w:next w:val="1169"/>
    <w:uiPriority w:val="99"/>
    <w:unhideWhenUsed/>
    <w:qFormat/>
    <w:pPr>
      <w:ind w:firstLine="225"/>
    </w:pPr>
    <w:rPr>
      <w:rFonts w:hint="eastAsia" w:ascii="仿宋_GB2312" w:eastAsia="仿宋_GB2312"/>
      <w:sz w:val="32"/>
    </w:rPr>
  </w:style>
  <w:style w:type="paragraph" w:styleId="1169" w:customStyle="1">
    <w:name w:val="正文_3_0_0_0"/>
    <w:next w:val="1168"/>
    <w:uiPriority w:val="0"/>
    <w:unhideWhenUsed/>
    <w:qFormat/>
    <w:pPr>
      <w:jc w:val="both"/>
      <w:widowControl w:val="off"/>
    </w:pPr>
    <w:rPr>
      <w:rFonts w:ascii="Calibri" w:hAnsi="Calibri" w:eastAsia="宋体" w:cs="Times New Roman"/>
      <w:sz w:val="21"/>
      <w:szCs w:val="24"/>
      <w:lang w:val="en-US" w:eastAsia="zh-CN" w:bidi="ar-SA"/>
    </w:rPr>
  </w:style>
  <w:style w:type="paragraph" w:styleId="117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Normal_6_0"/>
    <w:uiPriority w:val="0"/>
    <w:qFormat/>
    <w:rPr>
      <w:rFonts w:ascii="黑体" w:hAnsi="黑体" w:eastAsia="黑体" w:cs="黑体"/>
      <w:b/>
      <w:sz w:val="32"/>
      <w:szCs w:val="24"/>
      <w:lang w:val="en-US" w:eastAsia="zh-CN" w:bidi="ar-SA"/>
    </w:rPr>
  </w:style>
  <w:style w:type="paragraph" w:styleId="1172" w:customStyle="1">
    <w:name w:val="Char Char Char Char1"/>
    <w:basedOn w:val="1060"/>
    <w:uiPriority w:val="0"/>
    <w:qFormat/>
    <w:pPr>
      <w:spacing w:line="360" w:lineRule="auto"/>
    </w:pPr>
    <w:rPr>
      <w:rFonts w:ascii="Tahoma" w:hAnsi="Tahoma"/>
      <w:sz w:val="24"/>
      <w:szCs w:val="24"/>
    </w:rPr>
  </w:style>
  <w:style w:type="paragraph" w:styleId="117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xl29"/>
    <w:basedOn w:val="8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6" w:customStyle="1">
    <w:name w:val="Body Text(ch)"/>
    <w:basedOn w:val="806"/>
    <w:next w:val="914"/>
    <w:uiPriority w:val="0"/>
    <w:qFormat/>
    <w:pPr>
      <w:spacing w:after="120"/>
    </w:pPr>
    <w:rPr>
      <w:rFonts w:ascii="宋体" w:hAnsi="Arial"/>
      <w:bCs/>
      <w:iCs/>
      <w:szCs w:val="24"/>
    </w:rPr>
  </w:style>
  <w:style w:type="paragraph" w:styleId="1177" w:customStyle="1">
    <w:name w:val="xl2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8" w:customStyle="1">
    <w:name w:val="正文文本缩进_1"/>
    <w:basedOn w:val="1179"/>
    <w:next w:val="1181"/>
    <w:uiPriority w:val="99"/>
    <w:unhideWhenUsed/>
    <w:qFormat/>
    <w:pPr>
      <w:ind w:firstLine="225"/>
    </w:pPr>
    <w:rPr>
      <w:rFonts w:hint="eastAsia" w:ascii="仿宋_GB2312" w:eastAsia="仿宋_GB2312"/>
      <w:sz w:val="32"/>
      <w:szCs w:val="24"/>
    </w:rPr>
  </w:style>
  <w:style w:type="paragraph" w:styleId="1179" w:customStyle="1">
    <w:name w:val="正文_17_0"/>
    <w:next w:val="1180"/>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首行缩进 2_1"/>
    <w:basedOn w:val="1178"/>
    <w:uiPriority w:val="0"/>
    <w:qFormat/>
    <w:pPr>
      <w:ind w:firstLine="420"/>
    </w:pPr>
  </w:style>
  <w:style w:type="paragraph" w:styleId="1181" w:customStyle="1">
    <w:name w:val="正文_3"/>
    <w:next w:val="1178"/>
    <w:uiPriority w:val="0"/>
    <w:qFormat/>
    <w:pPr>
      <w:jc w:val="both"/>
      <w:widowControl w:val="off"/>
    </w:pPr>
    <w:rPr>
      <w:rFonts w:ascii="Calibri" w:hAnsi="Calibri" w:eastAsia="宋体" w:cs="Times New Roman"/>
      <w:sz w:val="21"/>
      <w:szCs w:val="22"/>
      <w:lang w:val="en-US" w:eastAsia="zh-CN" w:bidi="ar-SA"/>
    </w:rPr>
  </w:style>
  <w:style w:type="paragraph" w:styleId="118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1184" w:customStyle="1">
    <w:name w:val="正文空2字"/>
    <w:basedOn w:val="1133"/>
    <w:uiPriority w:val="99"/>
    <w:qFormat/>
    <w:pPr>
      <w:ind w:firstLine="640"/>
      <w:spacing w:line="560" w:lineRule="exact"/>
      <w:widowControl w:val="off"/>
    </w:pPr>
    <w:rPr>
      <w:rFonts w:ascii="仿宋_GB2312" w:hAnsi="仿宋_GB2312" w:cs="仿宋_GB2312"/>
      <w:lang w:val="zh-TW"/>
    </w:rPr>
  </w:style>
  <w:style w:type="paragraph" w:styleId="1185" w:customStyle="1">
    <w:name w:val="列出段落_2"/>
    <w:basedOn w:val="1173"/>
    <w:uiPriority w:val="34"/>
    <w:qFormat/>
    <w:pPr>
      <w:ind w:firstLine="420"/>
    </w:pPr>
  </w:style>
  <w:style w:type="paragraph" w:styleId="1186" w:customStyle="1">
    <w:name w:val="Normal_20"/>
    <w:uiPriority w:val="0"/>
    <w:qFormat/>
    <w:rPr>
      <w:rFonts w:ascii="黑体" w:hAnsi="黑体" w:eastAsia="黑体" w:cs="黑体"/>
      <w:b/>
      <w:sz w:val="32"/>
      <w:szCs w:val="24"/>
      <w:lang w:val="en-US" w:eastAsia="zh-CN" w:bidi="ar-SA"/>
    </w:rPr>
  </w:style>
  <w:style w:type="paragraph" w:styleId="1187" w:customStyle="1">
    <w:name w:val="Normal_0"/>
    <w:uiPriority w:val="0"/>
    <w:qFormat/>
    <w:rPr>
      <w:rFonts w:ascii="黑体" w:hAnsi="黑体" w:eastAsia="黑体" w:cs="Times New Roman"/>
      <w:b/>
      <w:sz w:val="32"/>
      <w:szCs w:val="24"/>
      <w:lang w:val="en-US" w:eastAsia="zh-CN" w:bidi="ar-SA"/>
    </w:rPr>
  </w:style>
  <w:style w:type="paragraph" w:styleId="118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89" w:customStyle="1">
    <w:name w:val="Char Char Char Char Char Char Char Char Char Char"/>
    <w:basedOn w:val="806"/>
    <w:uiPriority w:val="0"/>
    <w:qFormat/>
    <w:pPr>
      <w:spacing w:line="360" w:lineRule="auto"/>
    </w:pPr>
    <w:rPr>
      <w:sz w:val="24"/>
      <w:szCs w:val="20"/>
    </w:rPr>
  </w:style>
  <w:style w:type="paragraph" w:styleId="1190"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191"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table" w:styleId="1192" w:customStyle="1">
    <w:name w:val="Table Normal"/>
    <w:uiPriority w:val="0"/>
    <w:qFormat/>
    <w:tblPr>
      <w:tblCellMar>
        <w:left w:w="0" w:type="dxa"/>
        <w:top w:w="0" w:type="dxa"/>
        <w:right w:w="0" w:type="dxa"/>
        <w:bottom w:w="0" w:type="dxa"/>
      </w:tblCellMar>
    </w:tblPr>
  </w:style>
  <w:style w:type="paragraph" w:styleId="1193">
    <w:name w:val="List Paragraph"/>
    <w:basedOn w:val="806"/>
    <w:uiPriority w:val="34"/>
    <w:qFormat/>
    <w:pPr>
      <w:ind w:firstLine="420"/>
    </w:pPr>
  </w:style>
  <w:style w:type="paragraph" w:styleId="1194" w:customStyle="1">
    <w:name w:val="正文 New New New New"/>
    <w:uiPriority w:val="99"/>
    <w:qFormat/>
    <w:pPr>
      <w:jc w:val="both"/>
      <w:widowControl w:val="off"/>
    </w:pPr>
    <w:rPr>
      <w:rFonts w:ascii="Times New Roman" w:hAnsi="Times New Roman" w:eastAsia="宋体" w:cs="Times New Roman"/>
      <w:lang w:val="en-US" w:eastAsia="zh-CN" w:bidi="ar-SA"/>
    </w:rPr>
  </w:style>
  <w:style w:type="character" w:styleId="1195" w:customStyle="1">
    <w:name w:val="font11"/>
    <w:basedOn w:val="816"/>
    <w:uiPriority w:val="0"/>
    <w:qFormat/>
    <w:rPr>
      <w:rFonts w:hint="eastAsia" w:ascii="方正仿宋_GBK" w:hAnsi="方正仿宋_GBK" w:eastAsia="方正仿宋_GBK" w:cs="方正仿宋_GBK"/>
      <w:color w:val="000000"/>
      <w:sz w:val="32"/>
      <w:szCs w:val="32"/>
      <w:u w:val="none"/>
    </w:rPr>
  </w:style>
  <w:style w:type="character" w:styleId="1196" w:customStyle="1">
    <w:name w:val="font21"/>
    <w:basedOn w:val="816"/>
    <w:uiPriority w:val="0"/>
    <w:qFormat/>
    <w:rPr>
      <w:rFonts w:hint="eastAsia" w:ascii="宋体" w:hAnsi="宋体" w:eastAsia="宋体" w:cs="宋体"/>
      <w:color w:val="000000"/>
      <w:sz w:val="20"/>
      <w:szCs w:val="20"/>
      <w:u w:val="none"/>
    </w:rPr>
  </w:style>
  <w:style w:type="character" w:styleId="1197"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198" w:customStyle="1">
    <w:name w:val="layui-layer-tabnow"/>
    <w:basedOn w:val="816"/>
    <w:uiPriority w:val="0"/>
    <w:qFormat/>
    <w:rPr>
      <w:shd w:val="clear" w:color="auto" w:fill="ffffff"/>
    </w:rPr>
  </w:style>
  <w:style w:type="character" w:styleId="1199" w:customStyle="1">
    <w:name w:val="hour_am"/>
    <w:basedOn w:val="816"/>
    <w:uiPriority w:val="0"/>
    <w:qFormat/>
  </w:style>
  <w:style w:type="character" w:styleId="1200" w:customStyle="1">
    <w:name w:val="hover5"/>
    <w:basedOn w:val="816"/>
    <w:uiPriority w:val="0"/>
    <w:qFormat/>
    <w:rPr>
      <w:shd w:val="clear" w:color="auto" w:fill="eeeeee"/>
    </w:rPr>
  </w:style>
  <w:style w:type="character" w:styleId="1201" w:customStyle="1">
    <w:name w:val="old"/>
    <w:basedOn w:val="816"/>
    <w:uiPriority w:val="0"/>
    <w:qFormat/>
    <w:rPr>
      <w:color w:val="999999"/>
    </w:rPr>
  </w:style>
  <w:style w:type="character" w:styleId="1202" w:customStyle="1">
    <w:name w:val="glyphicon"/>
    <w:basedOn w:val="816"/>
    <w:uiPriority w:val="0"/>
    <w:qFormat/>
  </w:style>
  <w:style w:type="character" w:styleId="1203" w:customStyle="1">
    <w:name w:val="hour_pm"/>
    <w:basedOn w:val="816"/>
    <w:uiPriority w:val="0"/>
    <w:qFormat/>
  </w:style>
  <w:style w:type="character" w:styleId="1204" w:customStyle="1">
    <w:name w:val="first-child"/>
    <w:basedOn w:val="816"/>
    <w:uiPriority w:val="0"/>
    <w:qFormat/>
  </w:style>
  <w:style w:type="character" w:styleId="1205" w:customStyle="1">
    <w:name w:val="hover"/>
    <w:basedOn w:val="816"/>
    <w:uiPriority w:val="0"/>
    <w:qFormat/>
    <w:rPr>
      <w:shd w:val="clear" w:color="auto" w:fill="eeeeee"/>
    </w:rPr>
  </w:style>
  <w:style w:type="paragraph" w:styleId="1206" w:customStyle="1">
    <w:name w:val="WPSOffice手动目录 1"/>
    <w:uiPriority w:val="0"/>
    <w:qFormat/>
    <w:rPr>
      <w:rFonts w:ascii="Times New Roman" w:hAnsi="Times New Roman" w:eastAsia="宋体" w:cs="Times New Roman"/>
      <w:lang w:val="en-US" w:eastAsia="zh-CN" w:bidi="ar-SA"/>
    </w:rPr>
  </w:style>
  <w:style w:type="character" w:styleId="1207" w:customStyle="1">
    <w:name w:val="font71"/>
    <w:basedOn w:val="816"/>
    <w:uiPriority w:val="0"/>
    <w:qFormat/>
    <w:rPr>
      <w:rFonts w:hint="eastAsia" w:ascii="宋体" w:hAnsi="宋体" w:eastAsia="宋体" w:cs="宋体"/>
      <w:color w:val="000000"/>
      <w:sz w:val="21"/>
      <w:szCs w:val="21"/>
      <w:u w:val="none"/>
    </w:rPr>
  </w:style>
  <w:style w:type="paragraph" w:styleId="1208" w:customStyle="1">
    <w:name w:val="普通(网站)111"/>
    <w:basedOn w:val="806"/>
    <w:uiPriority w:val="99"/>
    <w:qFormat/>
    <w:pPr>
      <w:jc w:val="left"/>
      <w:spacing w:before="100" w:beforeAutospacing="1" w:after="100" w:afterAutospacing="1"/>
      <w:widowControl/>
    </w:pPr>
    <w:rPr>
      <w:rFonts w:ascii="宋体" w:hAnsi="宋体" w:cs="宋体"/>
      <w:sz w:val="24"/>
      <w:szCs w:val="24"/>
    </w:rPr>
  </w:style>
  <w:style w:type="paragraph" w:styleId="1209" w:customStyle="1">
    <w:name w:val="正文_17_1"/>
    <w:next w:val="1210"/>
    <w:uiPriority w:val="0"/>
    <w:qFormat/>
    <w:pPr>
      <w:jc w:val="both"/>
      <w:widowControl w:val="off"/>
    </w:pPr>
    <w:rPr>
      <w:rFonts w:ascii="Calibri" w:hAnsi="Calibri" w:eastAsia="宋体" w:cs="Times New Roman"/>
      <w:sz w:val="21"/>
      <w:szCs w:val="22"/>
      <w:lang w:val="en-US" w:eastAsia="zh-CN" w:bidi="ar-SA"/>
    </w:rPr>
  </w:style>
  <w:style w:type="paragraph" w:styleId="1210" w:customStyle="1">
    <w:name w:val="正文首行缩进 2_3"/>
    <w:basedOn w:val="1211"/>
    <w:next w:val="1209"/>
    <w:uiPriority w:val="0"/>
    <w:qFormat/>
    <w:pPr>
      <w:ind w:left="200" w:firstLine="200"/>
      <w:spacing w:after="120"/>
    </w:pPr>
    <w:rPr>
      <w:rFonts w:ascii="Times New Roman" w:hAnsi="Times New Roman"/>
      <w:sz w:val="24"/>
      <w:szCs w:val="24"/>
    </w:rPr>
  </w:style>
  <w:style w:type="paragraph" w:styleId="1211" w:customStyle="1">
    <w:name w:val="正文文本缩进_3"/>
    <w:basedOn w:val="1209"/>
    <w:next w:val="1209"/>
    <w:uiPriority w:val="0"/>
    <w:qFormat/>
    <w:pPr>
      <w:ind w:firstLine="225"/>
    </w:pPr>
    <w:rPr>
      <w:rFonts w:ascii="仿宋_GB2312" w:eastAsia="仿宋_GB2312"/>
      <w:sz w:val="32"/>
    </w:rPr>
  </w:style>
  <w:style w:type="paragraph" w:styleId="1212" w:customStyle="1">
    <w:name w:val="正文文本_0"/>
    <w:basedOn w:val="1083"/>
    <w:next w:val="1164"/>
    <w:uiPriority w:val="0"/>
    <w:qFormat/>
    <w:pPr>
      <w:spacing w:after="120"/>
    </w:pPr>
  </w:style>
  <w:style w:type="numbering" w:styleId="1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刘欣</cp:lastModifiedBy>
  <cp:revision>30</cp:revision>
  <dcterms:created xsi:type="dcterms:W3CDTF">2023-03-16T10:16:00Z</dcterms:created>
  <dcterms:modified xsi:type="dcterms:W3CDTF">2025-12-05T02:04:42Z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D0630F706E2D49FBBB83BA3E385A9662_13</vt:lpwstr>
  </property>
  <property fmtid="{D5CDD505-2E9C-101B-9397-08002B2CF9AE}" pid="4" name="KSOTemplateDocerSaveRecord">
    <vt:lpwstr>eyJoZGlkIjoiMDRiNWM4ZTRkMzMxZWMzM2IxMDc5NzU0Njk3ODNlNzAiLCJ1c2VySWQiOiIxMDE0MTU2NDc0In0=</vt:lpwstr>
  </property>
</Properties>
</file>